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footer7.xml" ContentType="application/vnd.openxmlformats-officedocument.wordprocessingml.footer+xml"/>
  <Override PartName="/word/footer3.xml" ContentType="application/vnd.openxmlformats-officedocument.wordprocessingml.footer+xml"/>
  <Override PartName="/word/media/image1.jpeg" ContentType="image/jpeg"/>
  <Override PartName="/word/media/image2.jpeg" ContentType="image/jpeg"/>
  <Override PartName="/word/media/image3.jpeg" ContentType="image/jpeg"/>
  <Override PartName="/word/media/image4.jpeg" ContentType="image/jpeg"/>
  <Override PartName="/word/media/image5.jpeg" ContentType="image/jpeg"/>
  <Override PartName="/word/media/image6.jpeg" ContentType="image/jpeg"/>
  <Override PartName="/word/media/image7.jpeg" ContentType="image/jpeg"/>
  <Override PartName="/word/media/image8.jpeg" ContentType="image/jpeg"/>
  <Override PartName="/word/header7.xml" ContentType="application/vnd.openxmlformats-officedocument.wordprocessingml.header+xml"/>
  <Override PartName="/word/header3.xml" ContentType="application/vnd.openxmlformats-officedocument.wordprocessingml.header+xml"/>
  <Override PartName="/word/footer8.xml" ContentType="application/vnd.openxmlformats-officedocument.wordprocessingml.footer+xml"/>
  <Override PartName="/word/footer4.xml" ContentType="application/vnd.openxmlformats-officedocument.wordprocessingml.footer+xml"/>
  <Override PartName="/word/header8.xml" ContentType="application/vnd.openxmlformats-officedocument.wordprocessingml.header+xml"/>
  <Override PartName="/word/header4.xml" ContentType="application/vnd.openxmlformats-officedocument.wordprocessingml.header+xml"/>
  <Override PartName="/word/document.xml" ContentType="application/vnd.openxmlformats-officedocument.wordprocessingml.document.main+xml"/>
  <Override PartName="/word/footer5.xml" ContentType="application/vnd.openxmlformats-officedocument.wordprocessingml.footer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5.xml" ContentType="application/vnd.openxmlformats-officedocument.wordprocessingml.header+xml"/>
  <Override PartName="/word/header1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footer2.xml" ContentType="application/vnd.openxmlformats-officedocument.wordprocessingml.footer+xml"/>
  <Override PartName="/word/_rels/header5.xml.rels" ContentType="application/vnd.openxmlformats-package.relationships+xml"/>
  <Override PartName="/word/_rels/header4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_rels/header8.xml.rels" ContentType="application/vnd.openxmlformats-package.relationships+xml"/>
  <Override PartName="/word/_rels/header7.xml.rels" ContentType="application/vnd.openxmlformats-package.relationships+xml"/>
  <Override PartName="/word/_rels/header6.xml.rels" ContentType="application/vnd.openxmlformats-package.relationships+xml"/>
  <Override PartName="/word/header6.xml" ContentType="application/vnd.openxmlformats-officedocument.wordprocessingml.header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 standalone="yes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<w:body><w:p><w:pPr><w:pStyle w:val="style0"/><w:jc w:val="both"/></w:pPr><w:r><w:rPr><w:rFonts w:ascii="Palatino Linotype" w:hAnsi="Palatino Linotype"/><w:b/><w:color w:val="1F4E79"/></w:rPr></w:r></w:p><w:p><w:pPr><w:pStyle w:val="style33"/><w:spacing w:line="276" w:lineRule="auto"/></w:pPr><w:r><w:rPr><w:rFonts w:ascii="Palatino Linotype" w:hAnsi="Palatino Linotype"/><w:b/><w:bCs/></w:rPr><w:t>Nota Técnica nº 01/2016 da Comissão Permanente da Infância e Juventude –COPEIJ, integrante do Grupo Nacional de Direitos Humanos –GNDH, vinculada ao Conselho Nacional de Procuradores-Gerais de Justiça.</w:t></w:r></w:p><w:p><w:pPr><w:pStyle w:val="style33"/><w:spacing w:line="276" w:lineRule="auto"/></w:pPr><w:r><w:rPr><w:rFonts w:ascii="Palatino Linotype" w:hAnsi="Palatino Linotype"/><w:b/><w:bCs/></w:rPr></w:r></w:p><w:p><w:pPr><w:pStyle w:val="style33"/><w:spacing w:line="276" w:lineRule="auto"/></w:pPr><w:r><w:rPr><w:rFonts w:ascii="Palatino Linotype" w:hAnsi="Palatino Linotype"/><w:b/><w:bCs/></w:rPr></w:r></w:p><w:p><w:pPr><w:pStyle w:val="style33"/><w:ind w:hanging="0" w:left="4500" w:right="0"/></w:pPr><w:r><w:rPr><w:rFonts w:ascii="Palatino Linotype" w:cs="Courier New" w:hAnsi="Palatino Linotype"/><w:b/><w:bCs/></w:rPr><w:t xml:space="preserve">EMENTA: </w:t></w:r><w:r><w:rPr><w:rFonts w:ascii="Palatino Linotype" w:cs="Courier New" w:hAnsi="Palatino Linotype"/></w:rPr><w:t>Resolução ANTT nº 4.308/2014. Exigência de identificação dos passageiros dos serviços de transporte rodoviário e ferroviário. Poder regulamentar da ANTT. Doutrina da Proteção Integral. Legalidade.</w:t></w:r></w:p><w:p><w:pPr><w:pStyle w:val="style33"/><w:jc w:val="left"/></w:pPr><w:r><w:rPr><w:rFonts w:ascii="Palatino Linotype" w:cs="Courier New" w:hAnsi="Palatino Linotype"/><w:b/><w:bCs/></w:rPr></w:r></w:p><w:p><w:pPr><w:pStyle w:val="style33"/><w:spacing w:line="276" w:lineRule="auto"/></w:pPr><w:r><w:rPr><w:rFonts w:ascii="Palatino Linotype" w:hAnsi="Palatino Linotype"/><w:b/><w:bCs/></w:rPr></w:r></w:p><w:p><w:pPr><w:pStyle w:val="style33"/><w:numPr><w:ilvl w:val="0"/><w:numId w:val="2"/></w:numPr><w:tabs><w:tab w:leader="none" w:pos="1701" w:val="left"/></w:tabs><w:spacing w:line="360" w:lineRule="auto"/><w:ind w:hanging="720" w:left="0" w:right="0"/></w:pPr><w:r><w:rPr><w:rFonts w:ascii="Palatino Linotype" w:hAnsi="Palatino Linotype"/><w:bCs/></w:rPr><w:t xml:space="preserve">A Comissão Permanente da Infância e Juventude - COPEIJ, integrante do Grupo Nacional de Direitos Humanos - GNDH, vinculada ao Conselho Nacional de Procuradores-Gerais - CNPG, vem, diante da Resolução nº </w:t></w:r><w:r><w:rPr><w:rFonts w:ascii="Palatino Linotype" w:cs="Courier New" w:hAnsi="Palatino Linotype"/></w:rPr><w:t>ANTT nº 4.308/2014</w:t></w:r><w:r><w:rPr><w:rFonts w:ascii="Palatino Linotype" w:hAnsi="Palatino Linotype"/><w:bCs/></w:rPr><w:t>, apresentar NOTA TÉCNICA a respeito da exigência de documento com foto de adolescentes.</w:t></w:r></w:p><w:p><w:pPr><w:pStyle w:val="style33"/><w:spacing w:line="360" w:lineRule="auto"/><w:ind w:hanging="0" w:left="2421" w:right="0"/></w:pPr><w:r><w:rPr><w:rFonts w:ascii="Palatino Linotype" w:hAnsi="Palatino Linotype"/><w:b/><w:bCs/></w:rPr></w:r></w:p><w:p><w:pPr><w:pStyle w:val="style33"/><w:numPr><w:ilvl w:val="0"/><w:numId w:val="2"/></w:numPr></w:pPr><w:r><w:rPr><w:rFonts w:ascii="Palatino Linotype" w:hAnsi="Palatino Linotype"/><w:b/><w:bCs/></w:rPr><w:t>OBJETIVO</w:t></w:r></w:p><w:p><w:pPr><w:pStyle w:val="style33"/></w:pPr><w:r><w:rPr><w:rFonts w:ascii="Palatino Linotype" w:hAnsi="Palatino Linotype"/><w:b/><w:bCs/></w:rPr></w:r></w:p><w:p><w:pPr><w:pStyle w:val="style33"/><w:spacing w:line="360" w:lineRule="auto"/><w:ind w:firstLine="1701" w:left="0" w:right="0"/></w:pPr><w:r><w:rPr><w:rFonts w:ascii="Palatino Linotype" w:hAnsi="Palatino Linotype"/></w:rPr><w:t xml:space="preserve">O escopo do presente trabalho é trazer esclarecimentos e informações acerca da legalidade da exigência contida no art. 3º, da Resolução nº 4.308, de 10 de abril de 2014, expedida pela Agência Nacional de Transportes Terrestres (ANTT). </w:t></w:r></w:p><w:p><w:pPr><w:pStyle w:val="style33"/><w:spacing w:line="360" w:lineRule="auto"/><w:ind w:firstLine="1701" w:left="0" w:right="0"/></w:pPr><w:r><w:rPr><w:rFonts w:ascii="Palatino Linotype" w:hAnsi="Palatino Linotype"/><w:b/><w:bCs/></w:rPr></w:r></w:p><w:p><w:pPr><w:pStyle w:val="style33"/><w:ind w:firstLine="1701" w:left="0" w:right="0"/></w:pPr><w:r><w:rPr><w:rFonts w:ascii="Palatino Linotype" w:hAnsi="Palatino Linotype"/><w:b/><w:bCs/></w:rPr><w:t>II. FATOS</w:t></w:r></w:p><w:p><w:pPr><w:pStyle w:val="style33"/><w:tabs><w:tab w:leader="none" w:pos="2790" w:val="left"/></w:tabs><w:spacing w:line="360" w:lineRule="auto"/><w:ind w:firstLine="1701" w:left="0" w:right="0"/></w:pPr><w:r><w:rPr><w:rFonts w:ascii="Palatino Linotype" w:hAnsi="Palatino Linotype"/><w:b/><w:bCs/></w:rPr><w:tab/></w:r></w:p><w:p><w:pPr><w:pStyle w:val="style33"/><w:spacing w:line="360" w:lineRule="auto"/><w:ind w:firstLine="1701" w:left="0" w:right="0"/></w:pPr><w:r><w:rPr><w:rFonts w:ascii="Palatino Linotype" w:hAnsi="Palatino Linotype"/></w:rPr><w:t>A Agência Nacional de Transportes Terrestres (ANTT) é uma Agência Reguladora que detém poderes normativos circunscritos ao campo de sua atuação técnica, nos termos do art. 24, IV,  da Lei 10.233/2001 que assim os discrimina:</w:t></w:r></w:p><w:p><w:pPr><w:pStyle w:val="style33"/><w:spacing w:line="360" w:lineRule="auto"/><w:ind w:firstLine="1701" w:left="0" w:right="0"/></w:pPr><w:r><w:rPr><w:rFonts w:ascii="Palatino Linotype" w:hAnsi="Palatino Linotype"/></w:rPr></w:r></w:p><w:p><w:pPr><w:pStyle w:val="style33"/><w:ind w:hanging="0" w:left="2342" w:right="0"/></w:pPr><w:r><w:rPr><w:rFonts w:ascii="Palatino Linotype" w:hAnsi="Palatino Linotype"/><w:sz w:val="20"/></w:rPr><w:t>Art. 24. Cabe à ANTT, em sua esfera de atuação, como atribuições gerais:</w:t></w:r></w:p><w:p><w:pPr><w:pStyle w:val="style33"/><w:ind w:hanging="0" w:left="2342" w:right="0"/></w:pPr><w:r><w:rPr><w:rFonts w:ascii="Palatino Linotype" w:hAnsi="Palatino Linotype"/><w:sz w:val="20"/></w:rPr><w:t>IV – elaborar e editar normas e regulamentos relativos à exploração de vias e terminais, garantindo isonomia no seu acesso e uso, bem como à prestação de serviços de transporte, mantendo os itinerários outorgados e fomentando a competição;</w:t></w:r></w:p><w:p><w:pPr><w:pStyle w:val="style33"/><w:spacing w:line="360" w:lineRule="auto"/><w:ind w:firstLine="1701" w:left="0" w:right="0"/></w:pPr><w:r><w:rPr><w:rFonts w:ascii="Palatino Linotype" w:hAnsi="Palatino Linotype"/></w:rPr></w:r></w:p><w:p><w:pPr><w:pStyle w:val="style33"/><w:spacing w:line="360" w:lineRule="auto"/><w:ind w:firstLine="1701" w:left="0" w:right="0"/></w:pPr><w:r><w:rPr><w:rFonts w:ascii="Palatino Linotype" w:hAnsi="Palatino Linotype"/></w:rPr><w:t xml:space="preserve">Nesse sentido, valendo-se de seu poder regulamentar, a ANTT editou a Resolução </w:t></w:r><w:r><w:rPr><w:rFonts w:ascii="Palatino Linotype" w:cs="Courier New" w:hAnsi="Palatino Linotype"/></w:rPr><w:t xml:space="preserve">nº 4.308/2014 que dispõe sobre a sistemática de identificação dos passageiros dos serviços de transporte rodoviário e ferroviário </w:t></w:r><w:r><w:rPr><w:rFonts w:ascii="Palatino Linotype" w:hAnsi="Palatino Linotype"/></w:rPr><w:t>e exige, em seu art. 3º, a identificação de adolescentes brasileiros por meio de documento de identificação com fotografia e fé pública em todo território nacional, listados no rol exemplificativo abaixo:</w:t></w:r></w:p><w:p><w:pPr><w:pStyle w:val="style39"/><w:spacing w:after="0" w:before="0"/><w:ind w:hanging="0" w:left="2342" w:right="0"/><w:contextualSpacing/><w:jc w:val="both"/></w:pPr><w:r><w:rPr><w:rFonts w:ascii="Palatino Linotype" w:eastAsia="Times New Roman" w:hAnsi="Palatino Linotype"/><w:sz w:val="20"/><w:szCs w:val="20"/></w:rPr><w:t>Art. 3º A identificação do passageiro de nacionalidade brasileira, maior ou adolescente, será atestada por um dos seguintes documentos:</w:t></w:r></w:p><w:p><w:pPr><w:pStyle w:val="style39"/><w:spacing w:after="0" w:before="0"/><w:ind w:hanging="0" w:left="2342" w:right="0"/><w:contextualSpacing/><w:jc w:val="both"/></w:pPr><w:r><w:rPr><w:rFonts w:ascii="Palatino Linotype" w:eastAsia="Times New Roman" w:hAnsi="Palatino Linotype"/><w:sz w:val="20"/><w:szCs w:val="20"/></w:rPr><w:t>I – Carteira de Identidade (RG) emitida por órgãos de Identificação dos Estados ou do Distrito Federal;</w:t></w:r></w:p><w:p><w:pPr><w:pStyle w:val="style39"/><w:spacing w:after="0" w:before="0"/><w:ind w:hanging="0" w:left="2342" w:right="0"/><w:contextualSpacing/><w:jc w:val="both"/></w:pPr><w:r><w:rPr><w:rFonts w:ascii="Palatino Linotype" w:eastAsia="Times New Roman" w:hAnsi="Palatino Linotype"/><w:sz w:val="20"/><w:szCs w:val="20"/></w:rPr><w:t>II – Carteira de Identidade emitida por conselho ou federação de categoria profissional, com fotografia e fé pública em todo território nacional;</w:t></w:r></w:p><w:p><w:pPr><w:pStyle w:val="style39"/><w:spacing w:after="0" w:before="0"/><w:ind w:hanging="0" w:left="2342" w:right="0"/><w:contextualSpacing/><w:jc w:val="both"/></w:pPr><w:r><w:rPr><w:rFonts w:ascii="Palatino Linotype" w:eastAsia="Times New Roman" w:hAnsi="Palatino Linotype"/><w:sz w:val="20"/><w:szCs w:val="20"/></w:rPr><w:t>III – Cartão de Identidade expedido por ministério ou órgão subordinado à Presidência da República, incluindo o Ministério da Defesa e os Comandos da Aeronáutica, da Marinha e do Exército;</w:t></w:r></w:p><w:p><w:pPr><w:pStyle w:val="style39"/><w:spacing w:after="0" w:before="0"/><w:ind w:hanging="0" w:left="2342" w:right="0"/><w:contextualSpacing/><w:jc w:val="both"/></w:pPr><w:r><w:rPr><w:rFonts w:ascii="Palatino Linotype" w:eastAsia="Times New Roman" w:hAnsi="Palatino Linotype"/><w:sz w:val="20"/><w:szCs w:val="20"/></w:rPr><w:t>IV – Registro de Identificação Civil - RIC, na forma do Decreto nº 7.166, de 5 de maio de 2010;</w:t></w:r></w:p><w:p><w:pPr><w:pStyle w:val="style39"/><w:spacing w:after="0" w:before="0"/><w:ind w:hanging="0" w:left="2342" w:right="0"/><w:contextualSpacing/><w:jc w:val="both"/></w:pPr><w:r><w:rPr><w:rFonts w:ascii="Palatino Linotype" w:eastAsia="Times New Roman" w:hAnsi="Palatino Linotype"/><w:sz w:val="20"/><w:szCs w:val="20"/></w:rPr><w:t>V – Carteira de Trabalho;</w:t></w:r></w:p><w:p><w:pPr><w:pStyle w:val="style39"/><w:spacing w:after="0" w:before="0"/><w:ind w:hanging="0" w:left="2342" w:right="0"/><w:contextualSpacing/><w:jc w:val="both"/></w:pPr><w:r><w:rPr><w:rFonts w:ascii="Palatino Linotype" w:eastAsia="Times New Roman" w:hAnsi="Palatino Linotype"/><w:sz w:val="20"/><w:szCs w:val="20"/></w:rPr><w:t>VI – Passaporte Brasileiro;</w:t></w:r></w:p><w:p><w:pPr><w:pStyle w:val="style39"/><w:spacing w:after="0" w:before="0"/><w:ind w:hanging="0" w:left="2342" w:right="0"/><w:contextualSpacing/><w:jc w:val="both"/></w:pPr><w:r><w:rPr><w:rFonts w:ascii="Palatino Linotype" w:eastAsia="Times New Roman" w:hAnsi="Palatino Linotype"/><w:sz w:val="20"/><w:szCs w:val="20"/></w:rPr><w:t>VII – Carteira Nacional de Habilitação – CNH com fotografia; ou</w:t></w:r></w:p><w:p><w:pPr><w:pStyle w:val="style39"/><w:spacing w:after="0" w:before="0"/><w:ind w:hanging="0" w:left="2342" w:right="0"/><w:contextualSpacing/><w:jc w:val="both"/></w:pPr><w:r><w:rPr><w:rFonts w:ascii="Palatino Linotype" w:eastAsia="Times New Roman" w:hAnsi="Palatino Linotype"/><w:sz w:val="20"/><w:szCs w:val="20"/></w:rPr><w:t>VIII – outro documento de identificação com fotografia e fé pública em todo território nacional.</w:t></w:r></w:p><w:p><w:pPr><w:pStyle w:val="style39"/><w:spacing w:after="0" w:before="0"/><w:ind w:hanging="0" w:left="2342" w:right="0"/><w:contextualSpacing/><w:jc w:val="both"/></w:pPr><w:r><w:rPr><w:rFonts w:ascii="Palatino Linotype" w:eastAsia="Times New Roman" w:hAnsi="Palatino Linotype"/><w:sz w:val="20"/><w:szCs w:val="20"/></w:rPr><w:t>§1º Em se tratando de viagem em território nacional, os documentos referidos neste artigo podem ser aceitos no original ou cópia autenticada em cartório, independentemente da respectiva validade, desde que seja possível a identificação do passageiro.</w:t></w:r></w:p><w:p><w:pPr><w:pStyle w:val="style39"/><w:spacing w:after="0" w:before="0"/><w:ind w:hanging="0" w:left="2342" w:right="0"/><w:contextualSpacing/><w:jc w:val="both"/></w:pPr><w:r><w:rPr><w:rFonts w:ascii="Palatino Linotype" w:eastAsia="Times New Roman" w:hAnsi="Palatino Linotype"/><w:sz w:val="20"/><w:szCs w:val="20"/></w:rPr><w:t>§2º No caso de viagem internacional, o passageiro deverá observar o rol de documentos elencados no Anexo do Decreto nº 1.983, de 14 de agosto de 1996.</w:t></w:r></w:p><w:p><w:pPr><w:pStyle w:val="style39"/><w:spacing w:after="0" w:before="0"/><w:ind w:hanging="0" w:left="2342" w:right="0"/><w:contextualSpacing/><w:jc w:val="both"/></w:pPr><w:r><w:rPr><w:rFonts w:ascii="Palatino Linotype" w:eastAsia="Times New Roman" w:hAnsi="Palatino Linotype"/><w:sz w:val="20"/><w:szCs w:val="20"/></w:rPr><w:t xml:space="preserve">§ 3º Caso o adolescente não possua um dos documentos elencados no caput deste artigo, será aceito, como documento de identificação, até 1º de setembro de 2015, a certidão de nascimento (original ou cópia autenticada em cartório). </w:t></w:r><w:r><w:rPr><w:rFonts w:ascii="Palatino Linotype" w:eastAsia="Times New Roman" w:hAnsi="Palatino Linotype"/><w:i/><w:iCs/><w:sz w:val="20"/><w:szCs w:val="20"/></w:rPr><w:t>(Incluído pela Resolução nº 4.511, de 16.12.14)</w:t></w:r></w:p><w:p><w:pPr><w:pStyle w:val="style33"/><w:spacing w:line="360" w:lineRule="auto"/><w:ind w:firstLine="1701" w:left="0" w:right="0"/></w:pPr><w:r><w:rPr><w:rFonts w:ascii="Palatino Linotype" w:hAnsi="Palatino Linotype"/></w:rPr><w:t xml:space="preserve"> </w:t></w:r><w:r><w:rPr><w:rFonts w:ascii="Palatino Linotype" w:hAnsi="Palatino Linotype"/></w:rPr><w:t xml:space="preserve">Diante de tal exigência, os adolescentes ficam impedidos de utilizar os meios de transporte rodoviário e ferroviário se não apresentarem documentos de identificação com foto. Portanto, a simples apresentação da certidão de nascimento não supre a condição imposta. </w:t></w:r></w:p><w:p><w:pPr><w:pStyle w:val="style33"/><w:spacing w:line="360" w:lineRule="auto"/><w:ind w:firstLine="1701" w:left="0" w:right="0"/></w:pPr><w:r><w:rPr><w:rFonts w:ascii="Palatino Linotype" w:hAnsi="Palatino Linotype"/></w:rPr><w:t xml:space="preserve">Considerando as desigualdades sociais e econômicas presentes na sociedade brasileira e a falta de acesso de parte da população aos documentos de identificação, o dispositivo acima transcrito gerou inúmeros questionamentos sobre sua legalidade e exigibilidade, </w:t></w:r><w:r><w:rPr><w:rFonts w:ascii="Palatino Linotype" w:cs="Corbel" w:hAnsi="Palatino Linotype"/></w:rPr><w:t>razão pela qual se fazem imprescindíveis os esclarecimentos a seguir</w:t></w:r><w:r><w:rPr><w:rFonts w:ascii="Palatino Linotype" w:hAnsi="Palatino Linotype"/></w:rPr><w:t>.</w:t></w:r></w:p><w:p><w:pPr><w:pStyle w:val="style33"/><w:spacing w:line="360" w:lineRule="auto"/><w:ind w:firstLine="1701" w:left="0" w:right="0"/></w:pPr><w:r><w:rPr><w:rFonts w:ascii="Palatino Linotype" w:hAnsi="Palatino Linotype"/></w:rPr><w:t xml:space="preserve"> </w:t></w:r></w:p><w:p><w:pPr><w:pStyle w:val="style33"/><w:numPr><w:ilvl w:val="0"/><w:numId w:val="2"/></w:numPr></w:pPr><w:r><w:rPr><w:rFonts w:ascii="Palatino Linotype" w:hAnsi="Palatino Linotype"/><w:b/><w:bCs/></w:rPr><w:t>FUNDAMENTAÇÃO</w:t></w:r></w:p><w:p><w:pPr><w:pStyle w:val="style33"/><w:ind w:firstLine="1701" w:left="0" w:right="0"/></w:pPr><w:r><w:rPr><w:rFonts w:ascii="Palatino Linotype" w:hAnsi="Palatino Linotype"/><w:b/><w:bCs/></w:rPr></w:r></w:p><w:p><w:pPr><w:pStyle w:val="style33"/><w:spacing w:line="360" w:lineRule="auto"/><w:ind w:firstLine="1701" w:left="0" w:right="0"/></w:pPr><w:r><w:rPr><w:rFonts w:ascii="Palatino Linotype" w:hAnsi="Palatino Linotype"/></w:rPr><w:t xml:space="preserve">A ANTT amparada em seu poder regulamentar previsto no art. 24, IV,  da Lei 10.233/2001 passou a exigir aos passageiros  brasileiros, adolescentes ou maiores de dezoito anos,  a apresentação de documento de identificação com fotografia e fé pública em todo território nacional para a utilização dos serviços de transporte rodoviário e ferroviário. </w:t></w:r></w:p><w:p><w:pPr><w:pStyle w:val="style33"/><w:spacing w:line="360" w:lineRule="auto"/><w:ind w:firstLine="1701" w:left="0" w:right="0"/></w:pPr><w:r><w:rPr><w:rFonts w:ascii="Palatino Linotype" w:hAnsi="Palatino Linotype"/><w:b/></w:rPr><w:t>Essa exigência permite que a empresa concessionária de transporte possa identificar se o adolescente que está embarcando é realmente a pessoa que consta no bilhete</w:t></w:r><w:r><w:rPr><w:rFonts w:ascii="Palatino Linotype" w:hAnsi="Palatino Linotype"/></w:rPr><w:t xml:space="preserve">, o que aumenta a segurança e confiabilidade em todo o sistema de transporte, eis que permite que a empresa forneça a lista de passageiros de determinada viagem no caso de eventual necessidade.  Tal </w:t></w:r><w:r><w:rPr><w:rFonts w:ascii="Palatino Linotype" w:hAnsi="Palatino Linotype"/><w:b/></w:rPr><w:t>medida visa a coibir o tráfico humano, sequestros, casos de desaparecimentos de pessoas e outras situações de risco que envolvam adolescentes.</w:t></w:r></w:p><w:p><w:pPr><w:pStyle w:val="style33"/><w:spacing w:line="360" w:lineRule="auto"/><w:ind w:firstLine="1701" w:left="0" w:right="0"/></w:pPr><w:r><w:rPr><w:rFonts w:ascii="Palatino Linotype" w:hAnsi="Palatino Linotype"/><w:b/></w:rPr><w:t xml:space="preserve">Portanto, essa medida não é um óbice ao direito de ir e vir dos adolescentes, mas sim configura um mecanismo de proteção que está em plena consonância com a doutrina da proteção integral da criança e do adolescente, prevista no art. 227, da Constituição da República. </w:t></w:r></w:p><w:p><w:pPr><w:pStyle w:val="style33"/><w:spacing w:line="360" w:lineRule="auto"/><w:ind w:firstLine="1701" w:left="0" w:right="0"/></w:pPr><w:r><w:rPr><w:rFonts w:ascii="Palatino Linotype" w:hAnsi="Palatino Linotype"/></w:rPr><w:t xml:space="preserve">Além disso, o art. 3º, da Resolução ANTT nº 4.308/2014, encontra fundamento no art. 2º, da Lei Federal nº 12.037/09, que define quais são os documentos hábeis para a identificação civil, </w:t></w:r><w:r><w:rPr><w:rFonts w:ascii="Palatino Linotype" w:hAnsi="Palatino Linotype"/><w:i/><w:iCs/></w:rPr><w:t>in verbis</w:t></w:r><w:r><w:rPr><w:rFonts w:ascii="Palatino Linotype" w:hAnsi="Palatino Linotype"/></w:rPr><w:t>:</w:t></w:r></w:p><w:p><w:pPr><w:pStyle w:val="style33"/><w:spacing w:line="360" w:lineRule="auto"/><w:ind w:firstLine="1701" w:left="0" w:right="0"/></w:pPr><w:r><w:rPr><w:rFonts w:ascii="Palatino Linotype" w:hAnsi="Palatino Linotype"/></w:rPr></w:r></w:p><w:p><w:pPr><w:pStyle w:val="style33"/><w:ind w:hanging="0" w:left="2342" w:right="0"/></w:pPr><w:r><w:rPr><w:rFonts w:ascii="Palatino Linotype" w:hAnsi="Palatino Linotype"/><w:sz w:val="20"/></w:rPr><w:t>Art. 2º A identificação civil é atestada por qualquer dos seguintes documentos:</w:t></w:r></w:p><w:p><w:pPr><w:pStyle w:val="style33"/><w:ind w:hanging="0" w:left="2342" w:right="0"/></w:pPr><w:r><w:rPr><w:rFonts w:ascii="Palatino Linotype" w:hAnsi="Palatino Linotype"/><w:sz w:val="20"/></w:rPr><w:t>I – carteira de identidade;</w:t></w:r></w:p><w:p><w:pPr><w:pStyle w:val="style33"/><w:ind w:hanging="0" w:left="2342" w:right="0"/></w:pPr><w:r><w:rPr><w:rFonts w:ascii="Palatino Linotype" w:hAnsi="Palatino Linotype"/><w:sz w:val="20"/></w:rPr><w:t>II – carteira de trabalho;</w:t></w:r></w:p><w:p><w:pPr><w:pStyle w:val="style33"/><w:ind w:hanging="0" w:left="2342" w:right="0"/></w:pPr><w:r><w:rPr><w:rFonts w:ascii="Palatino Linotype" w:hAnsi="Palatino Linotype"/><w:sz w:val="20"/></w:rPr><w:t>III – carteira profissional;</w:t></w:r></w:p><w:p><w:pPr><w:pStyle w:val="style33"/><w:ind w:hanging="0" w:left="2342" w:right="0"/></w:pPr><w:r><w:rPr><w:rFonts w:ascii="Palatino Linotype" w:hAnsi="Palatino Linotype"/><w:sz w:val="20"/></w:rPr><w:t>IV – passaporte;</w:t></w:r></w:p><w:p><w:pPr><w:pStyle w:val="style33"/><w:ind w:hanging="0" w:left="2342" w:right="0"/></w:pPr><w:r><w:rPr><w:rFonts w:ascii="Palatino Linotype" w:hAnsi="Palatino Linotype"/><w:sz w:val="20"/></w:rPr><w:t>V – carteira de identificação funcional;</w:t></w:r></w:p><w:p><w:pPr><w:pStyle w:val="style33"/><w:ind w:hanging="0" w:left="2342" w:right="0"/></w:pPr><w:r><w:rPr><w:rFonts w:ascii="Palatino Linotype" w:hAnsi="Palatino Linotype"/><w:sz w:val="20"/></w:rPr><w:t>VI – outro documento público que permita a identificação do indiciado.</w:t></w:r></w:p><w:p><w:pPr><w:pStyle w:val="style33"/><w:ind w:hanging="0" w:left="2342" w:right="0"/></w:pPr><w:r><w:rPr><w:rFonts w:ascii="Palatino Linotype" w:hAnsi="Palatino Linotype"/><w:sz w:val="20"/></w:rPr><w:t>Parágrafo único. Para as finalidades desta Lei, equiparam-se aos documentos de identificação civis os documentos de identificação militares.</w:t></w:r></w:p><w:p><w:pPr><w:pStyle w:val="style33"/><w:spacing w:line="360" w:lineRule="auto"/><w:ind w:firstLine="1701" w:left="0" w:right="0"/></w:pPr><w:r><w:rPr><w:rFonts w:ascii="Palatino Linotype" w:hAnsi="Palatino Linotype"/></w:rPr></w:r></w:p><w:p><w:pPr><w:pStyle w:val="style33"/><w:spacing w:line="360" w:lineRule="auto"/><w:ind w:firstLine="1701" w:left="0" w:right="0"/></w:pPr><w:r><w:rPr><w:rFonts w:ascii="Palatino Linotype" w:hAnsi="Palatino Linotype"/></w:rPr><w:t>É importante esclarecer que a certidão de nascimento, como o próprio nome a define, é apenas uma certidão do registro realizado em cartório e não identifica o seu portador.</w:t></w:r></w:p><w:p><w:pPr><w:pStyle w:val="style33"/><w:spacing w:line="360" w:lineRule="auto"/><w:ind w:firstLine="1701" w:left="0" w:right="0"/></w:pPr><w:r><w:rPr><w:rFonts w:ascii="Palatino Linotype" w:hAnsi="Palatino Linotype"/><w:b/></w:rPr><w:t>Nesse sentido, a Resolução ANTT nº 4.308/2014 está em plena consonância com a legislação vigente e a Constituição da República, e, considerando a doutrina da proteção integral, traz maior segurança para o tráfego de adolescentes que, diferentemente das crianças, podem viajar desacompanhados, o que exige maior fiscalização.</w:t></w:r></w:p><w:p><w:pPr><w:pStyle w:val="style33"/><w:spacing w:line="360" w:lineRule="auto"/><w:ind w:firstLine="1701" w:left="0" w:right="0"/></w:pPr><w:r><w:rPr><w:rFonts w:ascii="Palatino Linotype" w:hAnsi="Palatino Linotype"/></w:rPr><w:t xml:space="preserve">Porém, não se pode olvidar que a exigência de apresentação de documento com foto poder levar a situações emergenciais nas quais adolescentes que necessitam de viajar por motivos de saúde, morte de parentes, entre outros motivos urgentes, ficarão impedidos de utilizar os meios de transporte público terrestre.  </w:t></w:r></w:p><w:p><w:pPr><w:pStyle w:val="style33"/><w:spacing w:line="360" w:lineRule="auto"/><w:ind w:firstLine="1701" w:left="0" w:right="0"/></w:pPr><w:r><w:rPr><w:rFonts w:ascii="Palatino Linotype" w:hAnsi="Palatino Linotype"/></w:rPr><w:t>Nas situações em que há impossibilidade de emissão de documento com foto no município de origem do adolescente e há dificuldade ou impossibilidade de acesso ao posto mais próximo, mas nas quais não há emergência para a viagem, os adolescentes deverão ser encaminhados ao Centro de Referência da Assistência Social (CRAS)</w:t></w:r><w:r><w:rPr><w:rStyle w:val="style29"/></w:rPr><w:footnoteReference w:id="2"/></w:r><w:r><w:rPr><w:rFonts w:ascii="Palatino Linotype" w:hAnsi="Palatino Linotype"/></w:rPr><w:t xml:space="preserve"> ou, supletivamente, ao Conselho Tutelar.</w:t></w:r></w:p><w:p><w:pPr><w:pStyle w:val="style33"/><w:spacing w:line="360" w:lineRule="auto"/><w:ind w:firstLine="1701" w:left="0" w:right="0"/></w:pPr><w:r><w:rPr><w:rFonts w:ascii="Palatino Linotype" w:hAnsi="Palatino Linotype"/></w:rPr><w:t>Já as situações emergenciais, que dizem respeito a adolescentes desacompanhados, legitimam a atuação do Ministério Público que poderá requerer autorização judicial para suprir a ausência da documentação mencionada, com fundamento, por analogia, no art. 83</w:t></w:r><w:r><w:rPr><w:rStyle w:val="style29"/></w:rPr><w:footnoteReference w:id="3"/></w:r><w:r><w:rPr><w:rFonts w:ascii="Palatino Linotype" w:hAnsi="Palatino Linotype"/></w:rPr><w:t xml:space="preserve"> c/c com art. 201, VIII da Lei nº 8.069/90. Em caso de adolescente acompanhado de um dos pais ou responsável, poderá ser  requerida a assistência jurídica da Defensoria Pública ou advocacia particular.</w:t></w:r></w:p><w:p><w:pPr><w:pStyle w:val="style33"/><w:spacing w:line="360" w:lineRule="auto"/><w:ind w:firstLine="1701" w:left="0" w:right="0"/></w:pPr><w:r><w:rPr><w:rFonts w:ascii="Palatino Linotype" w:hAnsi="Palatino Linotype"/><w:b/><w:bCs/></w:rPr></w:r></w:p><w:p><w:pPr><w:pStyle w:val="style33"/><w:ind w:firstLine="1701" w:left="0" w:right="0"/></w:pPr><w:r><w:rPr><w:rFonts w:ascii="Palatino Linotype" w:cs="Courier New" w:hAnsi="Palatino Linotype"/><w:b/><w:bCs/></w:rPr><w:t>IV. CONCLUSÃO</w:t></w:r></w:p><w:p><w:pPr><w:pStyle w:val="style33"/><w:ind w:firstLine="1701" w:left="0" w:right="0"/></w:pPr><w:r><w:rPr><w:rFonts w:ascii="Palatino Linotype" w:cs="Courier New" w:hAnsi="Palatino Linotype"/><w:b/><w:bCs/></w:rPr></w:r></w:p><w:p><w:pPr><w:pStyle w:val="style33"/><w:spacing w:line="360" w:lineRule="auto"/><w:ind w:firstLine="1701" w:left="0" w:right="0"/></w:pPr><w:r><w:rPr><w:rFonts w:ascii="Palatino Linotype" w:hAnsi="Palatino Linotype"/></w:rPr><w:t xml:space="preserve">Conclui-se que a exigência contida no art. 3º, da Resolução nº 4.308, de 10 de abril de 2014, expedida pela Agência Nacional de Transportes Terrestres (ANTT) é legal e está amparada no poder normativo da ANTT, na doutrina da proteção integral e no art. 2º, da Lei Federal nº 12.037/09, o qual define os documentos hábeis para a identificação civil. </w:t></w:r></w:p><w:p><w:pPr><w:pStyle w:val="style33"/><w:spacing w:line="360" w:lineRule="auto"/><w:ind w:firstLine="1701" w:left="0" w:right="0"/></w:pPr><w:r><w:rPr><w:rFonts w:ascii="Palatino Linotype" w:hAnsi="Palatino Linotype"/></w:rPr><w:t>Os adolescentes que forem impedidos de viajar por não possuírem documento de identificação deverão ser encaminhados ao CRAS ou, supletivamente, ao Conselho Tutelar. Já as situações emergenciais, que dizem respeito a adolescentes desacompanhados, legitimam a atuação do Ministério Público que poderá requerer autorização judicial para suprir a ausência da documentação mencionada, com fundamento, por analogia, no art. 83</w:t></w:r><w:r><w:rPr><w:rStyle w:val="style29"/></w:rPr><w:footnoteReference w:id="4"/></w:r><w:r><w:rPr><w:rFonts w:ascii="Palatino Linotype" w:hAnsi="Palatino Linotype"/></w:rPr><w:t xml:space="preserve"> c/c com art. 201, VIII da Lei nº 8.069/90. Em caso de adolescente acompanhado de um dos pais ou responsável, poderá ser  requerida a assistência jurídica da Defensoria Pública ou advocacia particular.</w:t></w:r></w:p><w:p><w:pPr><w:pStyle w:val="style33"/><w:spacing w:line="360" w:lineRule="auto"/><w:ind w:firstLine="1701" w:left="0" w:right="0"/></w:pPr><w:r><w:rPr><w:rFonts w:ascii="Palatino Linotype" w:cs="Courier New" w:hAnsi="Palatino Linotype"/><w:b/><w:bCs/></w:rPr></w:r></w:p><w:p><w:pPr><w:pStyle w:val="style33"/><w:ind w:firstLine="1701" w:left="0" w:right="0"/></w:pPr><w:r><w:rPr><w:rFonts w:ascii="Palatino Linotype" w:hAnsi="Palatino Linotype"/><w:b/><w:bCs/></w:rPr><w:t>V. DIRETRIZES</w:t></w:r></w:p><w:p><w:pPr><w:pStyle w:val="style33"/><w:ind w:firstLine="1701" w:left="0" w:right="0"/></w:pPr><w:r><w:rPr><w:rFonts w:ascii="Palatino Linotype" w:hAnsi="Palatino Linotype"/><w:b/><w:bCs/></w:rPr></w:r></w:p><w:p><w:pPr><w:pStyle w:val="style33"/><w:ind w:firstLine="1701" w:left="0" w:right="0"/></w:pPr><w:r><w:rPr><w:rFonts w:ascii="Palatino Linotype" w:hAnsi="Palatino Linotype"/><w:b/><w:bCs/></w:rPr></w:r></w:p><w:p><w:pPr><w:pStyle w:val="style33"/><w:spacing w:line="360" w:lineRule="auto"/><w:ind w:firstLine="1701" w:left="0" w:right="0"/></w:pPr><w:r><w:rPr><w:rFonts w:ascii="Palatino Linotype" w:hAnsi="Palatino Linotype"/><w:b/><w:bCs/></w:rPr><w:t>1.</w:t></w:r><w:r><w:rPr><w:rFonts w:ascii="Palatino Linotype" w:hAnsi="Palatino Linotype"/></w:rPr><w:t xml:space="preserve"> O art. 3º, da Resolução nº 4.308, de 10 de abril de 2014, expedida pela Agência Nacional de Transportes Terrestres (ANTT) é legal e está amparado no poder normativo da ANTT e na doutrina da proteção integral insculpida no art. 227, da Constituição da República.</w:t></w:r></w:p><w:p><w:pPr><w:pStyle w:val="style33"/><w:spacing w:line="360" w:lineRule="auto"/><w:ind w:firstLine="1701" w:left="0" w:right="0"/></w:pPr><w:r><w:rPr><w:rFonts w:ascii="Palatino Linotype" w:hAnsi="Palatino Linotype"/></w:rPr><w:t>2. O art. 3º, da Resolução nº 4.308, de 10 de abril de 2014, expedida pela Agência Nacional de Transportes Terrestres (ANTT) está em plena consonância com o art. 2º, da Lei Federal nº 12.037/09, o qual define os documentos hábeis para a identificação civil.</w:t></w:r></w:p><w:p><w:pPr><w:pStyle w:val="style33"/><w:spacing w:line="360" w:lineRule="auto"/><w:ind w:firstLine="1701" w:left="0" w:right="0"/></w:pPr><w:r><w:rPr><w:rFonts w:ascii="Palatino Linotype" w:hAnsi="Palatino Linotype"/></w:rPr><w:t>3. Os adolescentes que forem impedidos de viajar por não possuírem documento de identificação civil deverão ser encaminhados ao CRAS, ou, supletivamente, ao Conselho Tutelar.</w:t></w:r></w:p><w:p><w:pPr><w:pStyle w:val="style33"/><w:spacing w:line="360" w:lineRule="auto"/><w:ind w:firstLine="1701" w:left="0" w:right="0"/></w:pPr><w:r><w:rPr><w:rFonts w:ascii="Palatino Linotype" w:hAnsi="Palatino Linotype"/></w:rPr><w:t>4. As situações emergenciais, que dizem respeito a adolescentes desacompanhados, legitimam a atuação do Ministério Público que poderá requerer autorização judicial para suprir a ausência da documentação mencionada, com fundamento, por analogia, no art. 83</w:t></w:r><w:r><w:rPr><w:rStyle w:val="style29"/></w:rPr><w:footnoteReference w:id="5"/></w:r><w:r><w:rPr><w:rFonts w:ascii="Palatino Linotype" w:hAnsi="Palatino Linotype"/></w:rPr><w:t xml:space="preserve"> c/c com art. 201, VIII da Lei nº 8.069/90. Em caso de adolescente acompanhado de um dos pais ou responsável, poderá ser requerida a assistência jurídica da Defensoria Pública ou advocacia particular.</w:t></w:r></w:p><w:p><w:pPr><w:pStyle w:val="style0"/><w:jc w:val="both"/></w:pPr><w:r><w:rPr><w:rFonts w:ascii="Palatino Linotype" w:hAnsi="Palatino Linotype"/><w:b/><w:color w:val="1F497D"/><w:lang w:eastAsia="pt-BR"/></w:rPr></w:r></w:p><w:p><w:pPr><w:sectPr><w:headerReference r:id="rId2" w:type="default"/><w:footerReference r:id="rId3" w:type="default"/><w:footnotePr><w:numFmt w:val="decimal"/></w:footnotePr><w:type w:val="nextPage"/><w:pgSz w:h="16838" w:w="11906"/><w:pgMar w:bottom="1417" w:footer="708" w:gutter="0" w:header="708" w:left="1701" w:right="1701" w:top="1417"/><w:pgNumType w:fmt="decimal"/><w:formProt w:val="false"/><w:textDirection w:val="lrTb"/><w:docGrid w:charSpace="4096" w:linePitch="360" w:type="default"/></w:sectPr><w:pStyle w:val="style0"/></w:pPr><w:bookmarkStart w:id="0" w:name="_GoBack"/><w:bookmarkEnd w:id="0"/><w:r><w:rPr><w:rFonts w:ascii="Palatino Linotype" w:eastAsia="Times New Roman" w:hAnsi="Palatino Linotype"/><w:b/><w:sz w:val="24"/><w:szCs w:val="20"/><w:lang w:eastAsia="pt-BR"/></w:rPr><w:t>Comissão Permanente da Infância e Juventude - COPEIJ</w:t></w:r></w:p><w:p><w:pPr><w:pStyle w:val="style0"/><w:jc w:val="both"/></w:pPr><w:r><w:rPr></w:rPr></w:r></w:p><w:sectPr><w:headerReference r:id="rId4" w:type="default"/><w:footerReference r:id="rId5" w:type="default"/><w:footnotePr><w:numFmt w:val="decimal"/></w:footnotePr><w:type w:val="nextPage"/><w:pgSz w:h="16838" w:w="11906"/><w:pgMar w:bottom="1417" w:footer="708" w:gutter="0" w:header="708" w:left="1701" w:right="1701" w:top="1417"/><w:pgNumType w:fmt="decimal"/><w:cols w:equalWidth="true" w:num="2" w:sep="true" w:space="708"></w:cols><w:formProt w:val="false"/><w:textDirection w:val="lrTb"/><w:docGrid w:charSpace="4096" w:linePitch="360" w:type="default"/></w:sectPr></w:body></w:document><w:headerReference r:id="rId7" w:type="default"/><w:footerReference r:id="rId8" w:type="default"/><w:pgMar w:bottom="1417" w:footer="708" w:gutter="0" w:header="708" w:left="1701" w:right="1701" w:top="1417"/></w:sectPr><w:pStyle w:val="style39"/><w:spacing w:after="0" w:before="0"/><w:contextualSpacing/></w:pPr></w:p><w:p><w:pPr><w:sectPr><w:headerReference r:id="rId9" w:type="default"/><w:footerReference r:id="rId10" w:type="default"/><w:footnotePr><w:numFmt w:val="decimal"/></w:footnotePr><w:type w:val="nextPage"/><w:pgSz w:h="16838" w:w="11906"/><w:pgMar w:bottom="1417" w:footer="708" w:gutter="0" w:header="708" w:left="1701" w:right="1701" w:top="1417"/><w:pgNumType w:fmt="decimal"/><w:formProt w:val="false"/><w:textDirection w:val="lrTb"/><w:docGrid w:charSpace="4096" w:linePitch="360" w:type="default"/></w:sectPr><w:pStyle w:val="style39"/><w:spacing w:after="0" w:before="0"/><w:contextualSpacing/></w:pPr><w:bookmarkStart w:id="2" w:name="art83§1a"/><w:bookmarkEnd w:id="2"/><w:r><w:rPr><w:rFonts w:ascii="Corbel" w:eastAsia="Times New Roman" w:hAnsi="Corbel"/><w:sz w:val="20"/><w:szCs w:val="20"/></w:rPr><w:tab/><w:t>§ 1º A autorização não será exigida quando:</w:t></w:r></w:p><w:p><w:pPr><w:pStyle w:val="style39"/><w:spacing w:after="0" w:before="0"/><w:contextualSpacing/></w:pPr><w:bookmarkStart w:id="3" w:name="art83§1b"/><w:bookmarkEnd w:id="3"/><w:r><w:rPr><w:rFonts w:ascii="Corbel" w:eastAsia="Times New Roman" w:hAnsi="Corbel"/><w:sz w:val="20"/><w:szCs w:val="20"/></w:rPr><w:tab/><w:t>a) tratar-se de comarca contígua à da residência da criança, se na mesma unidade da Federação, ou incluída na mesma região metropolitana;</w:t></w:r></w:p><w:p><w:pPr><w:pStyle w:val="style39"/><w:spacing w:after="0" w:before="0"/><w:contextualSpacing/></w:pPr><w:bookmarkStart w:id="4" w:name="art83§1b1"/><w:bookmarkEnd w:id="4"/><w:r><w:rPr><w:rFonts w:ascii="Corbel" w:eastAsia="Times New Roman" w:hAnsi="Corbel"/><w:sz w:val="20"/><w:szCs w:val="20"/></w:rPr><w:tab/><w:t>b) a criança estiver acompanhada:</w:t></w:r></w:p><w:p><w:pPr><w:sectPr><w:headerReference r:id="rId11" w:type="default"/><w:footerReference r:id="rId12" w:type="default"/><w:footnotePr><w:numFmt w:val="decimal"/></w:footnotePr><w:type w:val="nextPage"/><w:pgSz w:h="16838" w:w="11906"/><w:pgMar w:bottom="1417" w:footer="708" w:gutter="0" w:header="708" w:left="1701" w:right="1701" w:top="1417"/><w:pgNumType w:fmt="decimal"/><w:formProt w:val="false"/><w:textDirection w:val="lrTb"/><w:docGrid w:charSpace="4096" w:linePitch="360" w:type="default"/></w:sectPr><w:pStyle w:val="style39"/><w:spacing w:after="0" w:before="0"/><w:contextualSpacing/></w:pPr><w:bookmarkStart w:id="5" w:name="art83§1b2"/><w:bookmarkEnd w:id="5"/><w:r><w:rPr><w:rFonts w:ascii="Corbel" w:eastAsia="Times New Roman" w:hAnsi="Corbel"/><w:sz w:val="20"/><w:szCs w:val="20"/></w:rPr><w:tab/><w:t>1) de ascendente ou colateral maior, até o terceiro grau, comprovado documentalmente o parentesco;</w:t></w:r></w:p><w:p><w:pPr><w:sectPr><w:headerReference r:id="rId13" w:type="default"/><w:footerReference r:id="rId14" w:type="default"/><w:footnotePr><w:numFmt w:val="decimal"/></w:footnotePr><w:type w:val="nextPage"/><w:pgSz w:h="16838" w:w="11906"/><w:pgMar w:bottom="1417" w:footer="708" w:gutter="0" w:header="708" w:left="1701" w:right="1701" w:top="1417"/><w:pgNumType w:fmt="decimal"/><w:cols w:equalWidth="true" w:num="2" w:sep="true" w:space="708"></w:cols><w:formProt w:val="false"/><w:textDirection w:val="lrTb"/><w:docGrid w:charSpace="4096" w:linePitch="360" w:type="default"/></w:sectPr><w:pStyle w:val="style39"/><w:spacing w:after="0" w:before="0"/><w:contextualSpacing/></w:pPr><w:bookmarkStart w:id="6" w:name="art83§2"/><w:bookmarkEnd w:id="6"/><w:r><w:rPr><w:rFonts w:ascii="Corbel" w:eastAsia="Times New Roman" w:hAnsi="Corbel"/><w:sz w:val="20"/><w:szCs w:val="20"/></w:rPr><w:tab/><w:t>2) de pessoa maior, expressamente autorizada pelo pai, mãe ou responsável.</w:t></w:r></w:p><w:p><w:pPr><w:pStyle w:val="style39"/><w:spacing w:after="0" w:before="0"/><w:contextualSpacing/></w:pPr><w:r><w:rPr><w:rFonts w:ascii="Corbel" w:eastAsia="Times New Roman" w:hAnsi="Corbel"/><w:sz w:val="20"/><w:szCs w:val="20"/></w:rPr><w:tab/><w:t>§ 2º A autoridade judiciária poderá, a pedido dos pais ou responsável, conceder autorização válida por dois anos.</w:t></w:r></w:p></w:footnote><w:footnote w:id="4"><w:p><w:pPr><w:sectPr><w:headerReference r:id="rId15" w:type="default"/><w:footerReference r:id="rId16" w:type="default"/><w:footnotePr><w:numFmt w:val="decimal"/></w:footnotePr><w:type w:val="nextPage"/><w:pgSz w:h="16838" w:w="11906"/><w:pgMar w:bottom="1417" w:footer="708" w:gutter="0" w:header="708" w:left="1701" w:right="1701" w:top="1417"/><w:pgNumType w:fmt="decimal"/><w:cols w:equalWidth="true" w:num="2" w:sep="true" w:space="708"></w:cols><w:formProt w:val="false"/><w:textDirection w:val="lrTb"/><w:docGrid w:charSpace="4096" w:linePitch="360" w:type="default"/></w:sectPr><w:pStyle w:val="style39"/><w:spacing w:after="0" w:before="0"/><w:contextualSpacing/></w:pPr><w:r><w:rPr><w:rStyle w:val="style26"/><w:rFonts w:ascii="Corbel" w:hAnsi="Corbel"/><w:sz w:val="20"/></w:rPr><w:footnoteRef/><w:tab/></w:r><w:r><w:rPr><w:rFonts w:ascii="Corbel" w:eastAsia="Times New Roman" w:hAnsi="Corbel"/><w:sz w:val="20"/><w:szCs w:val="20"/></w:rPr><w:t>Art. 83. Nenhuma criança poderá viajar para fora da comarca onde reside, desacompanhada dos pais ou responsável, sem expressa autorização judicial:</w:t></w:r></w:p><w:p><w:pPr><w:pStyle w:val="style39"/><w:spacing w:after="0" w:before="0"/><w:contextualSpacing/></w:pPr><w:r><w:rPr><w:rFonts w:ascii="Corbel" w:eastAsia="Times New Roman" w:hAnsi="Corbel"/><w:sz w:val="20"/><w:szCs w:val="20"/></w:rPr><w:tab/><w:t>§ 1º A autorização não será exigida quando:</w:t></w:r></w:p><w:p><w:pPr><w:pStyle w:val="style39"/><w:spacing w:after="0" w:before="0"/><w:contextualSpacing/></w:pPr><w:r><w:rPr><w:rFonts w:ascii="Corbel" w:eastAsia="Times New Roman" w:hAnsi="Corbel"/><w:sz w:val="20"/><w:szCs w:val="20"/></w:rPr><w:tab/><w:t>a) tratar-se de comarca contígua à da residência da criança, se na mesma unidade da Federação, ou incluída na mesma região metropolitana;</w:t></w:r></w:p><w:p><w:pPr><w:pStyle w:val="style39"/><w:spacing w:after="0" w:before="0"/><w:contextualSpacing/></w:pPr><w:r><w:rPr><w:rFonts w:ascii="Corbel" w:eastAsia="Times New Roman" w:hAnsi="Corbel"/><w:sz w:val="20"/><w:szCs w:val="20"/></w:rPr><w:tab/><w:t>b) a criança estiver acompanhada:</w:t></w:r></w:p><w:p><w:pPr><w:pStyle w:val="style39"/><w:spacing w:after="0" w:before="0"/><w:contextualSpacing/></w:pPr><w:r><w:rPr><w:rFonts w:ascii="Corbel" w:eastAsia="Times New Roman" w:hAnsi="Corbel"/><w:sz w:val="20"/><w:szCs w:val="20"/></w:rPr><w:tab/><w:t>1) de ascendente ou colateral maior, até o terceiro grau, comprovado documentalmente o parentesco;</w:t></w:r></w:p><w:p><w:pPr><w:pStyle w:val="style39"/><w:spacing w:after="0" w:before="0"/><w:contextualSpacing/></w:pPr><w:r><w:rPr><w:rFonts w:ascii="Corbel" w:eastAsia="Times New Roman" w:hAnsi="Corbel"/><w:sz w:val="20"/><w:szCs w:val="20"/></w:rPr><w:tab/><w:t>2) de pessoa maior, expressamente autorizada pelo pai, mãe ou responsável.</w:t></w:r></w:p><w:p><w:pPr><w:pStyle w:val="style39"/><w:spacing w:after="0" w:before="0"/><w:contextualSpacing/></w:pPr><w:r><w:rPr><w:rFonts w:ascii="Corbel" w:eastAsia="Times New Roman" w:hAnsi="Corbel"/><w:sz w:val="20"/><w:szCs w:val="20"/></w:rPr><w:tab/><w:t>§ 2º A autoridade judiciária poderá, a pedido dos pais ou responsável, conceder autorização válida por dois anos.</w:t></w:r></w:p></w:footnote><w:footnote w:id="5"><w:p><w:pPr><w:sectPr><w:headerReference r:id="rId17" w:type="default"/><w:footerReference r:id="rId18" w:type="default"/><w:footnotePr><w:numFmt w:val="decimal"/></w:footnotePr><w:type w:val="nextPage"/><w:pgSz w:h="16838" w:w="11906"/><w:pgMar w:bottom="1417" w:footer="708" w:gutter="0" w:header="708" w:left="1701" w:right="1701" w:top="1417"/><w:pgNumType w:fmt="decimal"/><w:cols w:equalWidth="true" w:num="2" w:sep="true" w:space="708"></w:cols><w:formProt w:val="false"/><w:textDirection w:val="lrTb"/><w:docGrid w:charSpace="4096" w:linePitch="360" w:type="default"/></w:sectPr><w:pStyle w:val="style39"/><w:spacing w:after="0" w:before="0"/><w:contextualSpacing/></w:pPr><w:r><w:rPr><w:rStyle w:val="style26"/><w:rFonts w:ascii="Corbel" w:hAnsi="Corbel"/><w:sz w:val="20"/></w:rPr><w:footnoteRef/><w:tab/></w:r><w:r><w:rPr><w:rFonts w:ascii="Corbel" w:eastAsia="Times New Roman" w:hAnsi="Corbel"/><w:sz w:val="20"/><w:szCs w:val="20"/></w:rPr><w:t>Art. 83. Nenhuma criança poderá viajar para fora da comarca onde reside, desacompanhada dos pais ou responsável, sem expressa autorização judicial:</w:t></w:r></w:p><w:p><w:pPr><w:pStyle w:val="style39"/><w:spacing w:after="0" w:before="0"/><w:contextualSpacing/></w:pPr><w:r><w:rPr><w:rFonts w:ascii="Corbel" w:eastAsia="Times New Roman" w:hAnsi="Corbel"/><w:sz w:val="20"/><w:szCs w:val="20"/></w:rPr><w:tab/><w:t>§ 1º A autorização não será exigida quando:</w:t></w:r></w:p><w:p><w:pPr><w:pStyle w:val="style39"/><w:spacing w:after="0" w:before="0"/><w:contextualSpacing/></w:pPr><w:r><w:rPr><w:rFonts w:ascii="Corbel" w:eastAsia="Times New Roman" w:hAnsi="Corbel"/><w:sz w:val="20"/><w:szCs w:val="20"/></w:rPr><w:tab/><w:t>a) tratar-se de comarca contígua à da residência da criança, se na mesma unidade da Federação, ou incluída na mesma região metropolitana;</w:t></w:r></w:p><w:p><w:pPr><w:pStyle w:val="style39"/><w:spacing w:after="0" w:before="0"/><w:contextualSpacing/></w:pPr><w:r><w:rPr><w:rFonts w:ascii="Corbel" w:eastAsia="Times New Roman" w:hAnsi="Corbel"/><w:sz w:val="20"/><w:szCs w:val="20"/></w:rPr><w:tab/><w:t>b) a criança estiver acompanhada:</w:t></w:r></w:p><w:p><w:pPr><w:pStyle w:val="style39"/><w:spacing w:after="0" w:before="0"/><w:contextualSpacing/></w:pPr><w:r><w:rPr><w:rFonts w:ascii="Corbel" w:eastAsia="Times New Roman" w:hAnsi="Corbel"/><w:sz w:val="20"/><w:szCs w:val="20"/></w:rPr><w:tab/><w:t>1) de ascendente ou colateral maior, até o terceiro grau, comprovado documentalmente o parentesco;</w:t></w:r></w:p><w:p><w:pPr><w:pStyle w:val="style39"/><w:spacing w:after="0" w:before="0"/><w:contextualSpacing/></w:pPr><w:r><w:rPr><w:rFonts w:ascii="Corbel" w:eastAsia="Times New Roman" w:hAnsi="Corbel"/><w:sz w:val="20"/><w:szCs w:val="20"/></w:rPr><w:tab/><w:t>2) de pessoa maior, expressamente autorizada pelo pai, mãe ou responsável.</w:t></w:r></w:p><w:p><w:pPr><w:pStyle w:val="style39"/><w:spacing w:after="0" w:before="0"/><w:contextualSpacing/></w:pPr><w:r><w:rPr><w:rFonts w:ascii="Corbel" w:eastAsia="Times New Roman" w:hAnsi="Corbel"/><w:sz w:val="20"/><w:szCs w:val="20"/></w:rPr><w:tab/><w:t>§ 2º A autoridade judiciária poderá, a pedido dos pais ou responsável, conceder autorização válida por dois anos.</w:t></w:r></w:p></w:footnote></w:footnotes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Calibri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42"/>
      <w:jc w:val="right"/>
    </w:pPr>
    <w:r>
      <w:rPr/>
      <w:fldChar w:fldCharType="begin"/>
    </w:r>
    <w:r>
      <w:instrText> PAGE </w:instrText>
    </w:r>
    <w:r>
      <w:fldChar w:fldCharType="separate"/>
    </w:r>
    <w:r>
      <w:t>8</w:t>
    </w:r>
    <w:r>
      <w:fldChar w:fldCharType="end"/>
    </w:r>
  </w:p>
  <w:p>
    <w:pPr>
      <w:pStyle w:val="style42"/>
    </w:pPr>
    <w:r>
      <w:rPr/>
    </w:r>
  </w:p>
  <w:p>
    <w:pPr>
      <w:pStyle w:val="style0"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42"/>
      <w:jc w:val="right"/>
    </w:pPr>
    <w:r>
      <w:rPr/>
      <w:fldChar w:fldCharType="begin"/>
    </w:r>
    <w:r>
      <w:instrText> PAGE </w:instrText>
    </w:r>
    <w:r>
      <w:fldChar w:fldCharType="separate"/>
    </w:r>
    <w:r>
      <w:t>9</w:t>
    </w:r>
    <w:r>
      <w:fldChar w:fldCharType="end"/>
    </w:r>
  </w:p>
  <w:p>
    <w:pPr>
      <w:pStyle w:val="style42"/>
    </w:pPr>
    <w:r>
      <w:rPr/>
    </w:r>
  </w:p>
  <w:p>
    <w:pPr>
      <w:pStyle w:val="style0"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42"/>
      <w:jc w:val="right"/>
    </w:pPr>
    <w:r>
      <w:rPr/>
      <w:fldChar w:fldCharType="begin"/>
    </w:r>
    <w:r>
      <w:instrText> PAGE </w:instrText>
    </w:r>
    <w:r>
      <w:fldChar w:fldCharType="separate"/>
    </w:r>
    <w:r>
      <w:t>9</w:t>
    </w:r>
    <w:r>
      <w:fldChar w:fldCharType="end"/>
    </w:r>
  </w:p>
  <w:p>
    <w:pPr>
      <w:pStyle w:val="style42"/>
    </w:pPr>
    <w:r>
      <w:rPr/>
    </w:r>
  </w:p>
  <w:p>
    <w:pPr>
      <w:pStyle w:val="style0"/>
    </w:pPr>
    <w:r>
      <w:rPr/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42"/>
      <w:jc w:val="right"/>
    </w:pPr>
    <w:r>
      <w:rPr/>
      <w:fldChar w:fldCharType="begin"/>
    </w:r>
    <w:r>
      <w:instrText> PAGE </w:instrText>
    </w:r>
    <w:r>
      <w:fldChar w:fldCharType="separate"/>
    </w:r>
    <w:r>
      <w:t>8</w:t>
    </w:r>
    <w:r>
      <w:fldChar w:fldCharType="end"/>
    </w:r>
  </w:p>
  <w:p>
    <w:pPr>
      <w:pStyle w:val="style42"/>
    </w:pPr>
    <w:r>
      <w:rPr/>
    </w:r>
  </w:p>
  <w:p>
    <w:pPr>
      <w:pStyle w:val="style0"/>
    </w:pPr>
    <w:r>
      <w:rPr/>
    </w:r>
  </w:p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42"/>
      <w:jc w:val="right"/>
    </w:pPr>
    <w:r>
      <w:rPr/>
      <w:fldChar w:fldCharType="begin"/>
    </w:r>
    <w:r>
      <w:instrText> PAGE </w:instrText>
    </w:r>
    <w:r>
      <w:fldChar w:fldCharType="separate"/>
    </w:r>
    <w:r>
      <w:t>8</w:t>
    </w:r>
    <w:r>
      <w:fldChar w:fldCharType="end"/>
    </w:r>
  </w:p>
  <w:p>
    <w:pPr>
      <w:pStyle w:val="style42"/>
    </w:pPr>
    <w:r>
      <w:rPr/>
    </w:r>
  </w:p>
  <w:p>
    <w:pPr>
      <w:pStyle w:val="style0"/>
    </w:pPr>
    <w:r>
      <w:rPr/>
    </w:r>
  </w:p>
</w:ftr>
</file>

<file path=word/footer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42"/>
      <w:jc w:val="right"/>
    </w:pPr>
    <w:r>
      <w:rPr/>
      <w:fldChar w:fldCharType="begin"/>
    </w:r>
    <w:r>
      <w:instrText> PAGE </w:instrText>
    </w:r>
    <w:r>
      <w:fldChar w:fldCharType="separate"/>
    </w:r>
    <w:r>
      <w:t>9</w:t>
    </w:r>
    <w:r>
      <w:fldChar w:fldCharType="end"/>
    </w:r>
  </w:p>
  <w:p>
    <w:pPr>
      <w:pStyle w:val="style42"/>
    </w:pPr>
    <w:r>
      <w:rPr/>
    </w:r>
  </w:p>
  <w:p>
    <w:pPr>
      <w:pStyle w:val="style0"/>
    </w:pPr>
    <w:r>
      <w:rPr/>
    </w:r>
  </w:p>
</w:ftr>
</file>

<file path=word/footer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42"/>
      <w:jc w:val="right"/>
    </w:pPr>
    <w:r>
      <w:rPr/>
      <w:fldChar w:fldCharType="begin"/>
    </w:r>
    <w:r>
      <w:instrText> PAGE </w:instrText>
    </w:r>
    <w:r>
      <w:fldChar w:fldCharType="separate"/>
    </w:r>
    <w:r>
      <w:t>9</w:t>
    </w:r>
    <w:r>
      <w:fldChar w:fldCharType="end"/>
    </w:r>
  </w:p>
  <w:p>
    <w:pPr>
      <w:pStyle w:val="style42"/>
    </w:pPr>
    <w:r>
      <w:rPr/>
    </w:r>
  </w:p>
  <w:p>
    <w:pPr>
      <w:pStyle w:val="style0"/>
    </w:pPr>
    <w:r>
      <w:rPr/>
    </w:r>
  </w:p>
</w:ftr>
</file>

<file path=word/footer8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42"/>
      <w:jc w:val="right"/>
    </w:pPr>
    <w:r>
      <w:rPr/>
      <w:fldChar w:fldCharType="begin"/>
    </w:r>
    <w:r>
      <w:instrText> PAGE </w:instrText>
    </w:r>
    <w:r>
      <w:fldChar w:fldCharType="separate"/>
    </w:r>
    <w:r>
      <w:t>9</w:t>
    </w:r>
    <w:r>
      <w:fldChar w:fldCharType="end"/>
    </w:r>
  </w:p>
  <w:p>
    <w:pPr>
      <w:pStyle w:val="style42"/>
    </w:pPr>
    <w:r>
      <w:rPr/>
    </w:r>
  </w:p>
  <w:p>
    <w:pPr>
      <w:pStyle w:val="style0"/>
    </w:pPr>
    <w:r>
      <w:rPr/>
    </w:r>
  </w:p>
</w:ftr>
</file>

<file path=word/footnotes.xml><?xml version="1.0" encoding="UTF-8" standalone="yes"?>
<w:footnotes xmlns:r="http://schemas.openxmlformats.org/officeDocument/2006/relationships" xmlns:w="http://schemas.openxmlformats.org/wordprocessingml/2006/main"><w:footnote w:id="0" w:type="separator"><w:p><w:r><w:separator/></w:r></w:p></w:footnote><w:footnote w:id="1" w:type="continuationSeparator"><w:p><w:r><w:continuationSeparator/></w:r></w:p></w:footnote><w:footnote w:id="2"><w:p><w:pPr><w:pStyle w:val="style44"/><w:jc w:val="both"/></w:pPr><w:r><w:rPr><w:rStyle w:val="style26"/><w:rFonts w:ascii="Corbel" w:hAnsi="Corbel"/></w:rPr><w:footnoteRef/><w:tab/></w:r><w:r><w:rPr><w:rFonts w:ascii="Corbel" w:hAnsi="Corbel"/></w:rPr><w:t xml:space="preserve"> </w:t></w:r><w:r><w:rPr><w:rFonts w:ascii="Corbel" w:hAnsi="Corbel"/></w:rPr><w:t xml:space="preserve">O CRAS é o equipamento público onde é prestado o Serviço de Proteção e Atendimento Integral à Família (PAIF), o qual se destina à prestação da proteção especial básica, no âmbito da Assistência Social. Dentre as atribuições conferidas ao PAIF, destaca-se a função de promover o acesso das famílias e indivíduos a direitos e contribuir na melhoria de sua qualidade de vida. Dessa forma, nos locais onde a emissão do documento de identidade mostra-se dificultada, o CRAS tem tido um importante papel para a garantia da cidadania, articulando junto aos órgãos responsáveis a expedição desses documentos.    </w:t></w:r></w:p></w:footnote><w:footnote w:id="3"><w:p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41"/>
      <w:jc w:val="center"/>
    </w:pPr>
    <w:r>
      <w:rPr/>
      <w:drawing>
        <wp:inline distB="0" distL="0" distR="0" distT="0">
          <wp:extent cx="1389380" cy="808990"/>
          <wp:effectExtent b="0" l="0" r="0" t="0"/>
          <wp:docPr descr="C:\Users\ateixeira\Desktop\CAIJ ANDREA\COPEIJ\LOGO GNDH\NOVO LOGO GNDH_arquivos\GNDHSE.jpg" id="0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descr="C:\Users\ateixeira\Desktop\CAIJ ANDREA\COPEIJ\LOGO GNDH\NOVO LOGO GNDH_arquivos\GNDHSE.jpg" id="0" name="Picture"/>
                  <pic:cNvPicPr>
                    <a:picLocks noChangeArrowheads="1"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9380" cy="8089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>
    <w:pPr>
      <w:pStyle w:val="style41"/>
    </w:pPr>
    <w:r>
      <w:rPr/>
    </w:r>
  </w:p>
  <w:p>
    <w:pPr>
      <w:pStyle w:val="style0"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41"/>
      <w:jc w:val="center"/>
    </w:pPr>
    <w:r>
      <w:rPr/>
      <w:drawing>
        <wp:inline distB="0" distL="0" distR="0" distT="0">
          <wp:extent cx="1389380" cy="808990"/>
          <wp:effectExtent b="0" l="0" r="0" t="0"/>
          <wp:docPr descr="C:\Users\ateixeira\Desktop\CAIJ ANDREA\COPEIJ\LOGO GNDH\NOVO LOGO GNDH_arquivos\GNDHSE.jpg" id="1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descr="C:\Users\ateixeira\Desktop\CAIJ ANDREA\COPEIJ\LOGO GNDH\NOVO LOGO GNDH_arquivos\GNDHSE.jpg" id="1" name="Picture"/>
                  <pic:cNvPicPr>
                    <a:picLocks noChangeArrowheads="1"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9380" cy="8089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>
    <w:pPr>
      <w:pStyle w:val="style41"/>
    </w:pPr>
    <w:r>
      <w:rPr/>
    </w:r>
  </w:p>
  <w:p>
    <w:pPr>
      <w:pStyle w:val="style0"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41"/>
      <w:jc w:val="center"/>
    </w:pPr>
    <w:r>
      <w:rPr/>
      <w:drawing>
        <wp:inline distB="0" distL="0" distR="0" distT="0">
          <wp:extent cx="1389380" cy="808990"/>
          <wp:effectExtent b="0" l="0" r="0" t="0"/>
          <wp:docPr descr="C:\Users\ateixeira\Desktop\CAIJ ANDREA\COPEIJ\LOGO GNDH\NOVO LOGO GNDH_arquivos\GNDHSE.jpg" id="2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descr="C:\Users\ateixeira\Desktop\CAIJ ANDREA\COPEIJ\LOGO GNDH\NOVO LOGO GNDH_arquivos\GNDHSE.jpg" id="2" name="Picture"/>
                  <pic:cNvPicPr>
                    <a:picLocks noChangeArrowheads="1"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9380" cy="8089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>
    <w:pPr>
      <w:pStyle w:val="style41"/>
    </w:pPr>
    <w:r>
      <w:rPr/>
    </w:r>
  </w:p>
  <w:p>
    <w:pPr>
      <w:pStyle w:val="style0"/>
    </w:pPr>
    <w:r>
      <w:rPr/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41"/>
      <w:jc w:val="center"/>
    </w:pPr>
    <w:r>
      <w:rPr/>
      <w:drawing>
        <wp:inline distB="0" distL="0" distR="0" distT="0">
          <wp:extent cx="1389380" cy="808990"/>
          <wp:effectExtent b="0" l="0" r="0" t="0"/>
          <wp:docPr descr="C:\Users\ateixeira\Desktop\CAIJ ANDREA\COPEIJ\LOGO GNDH\NOVO LOGO GNDH_arquivos\GNDHSE.jpg" id="3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descr="C:\Users\ateixeira\Desktop\CAIJ ANDREA\COPEIJ\LOGO GNDH\NOVO LOGO GNDH_arquivos\GNDHSE.jpg" id="3" name="Picture"/>
                  <pic:cNvPicPr>
                    <a:picLocks noChangeArrowheads="1"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9380" cy="8089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>
    <w:pPr>
      <w:pStyle w:val="style41"/>
    </w:pPr>
    <w:r>
      <w:rPr/>
    </w:r>
  </w:p>
  <w:p>
    <w:pPr>
      <w:pStyle w:val="style0"/>
    </w:pPr>
    <w:r>
      <w:rPr/>
    </w:r>
  </w:p>
</w:hdr>
</file>

<file path=word/header5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41"/>
      <w:jc w:val="center"/>
    </w:pPr>
    <w:r>
      <w:rPr/>
      <w:drawing>
        <wp:inline distB="0" distL="0" distR="0" distT="0">
          <wp:extent cx="1389380" cy="808990"/>
          <wp:effectExtent b="0" l="0" r="0" t="0"/>
          <wp:docPr descr="C:\Users\ateixeira\Desktop\CAIJ ANDREA\COPEIJ\LOGO GNDH\NOVO LOGO GNDH_arquivos\GNDHSE.jpg" id="4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descr="C:\Users\ateixeira\Desktop\CAIJ ANDREA\COPEIJ\LOGO GNDH\NOVO LOGO GNDH_arquivos\GNDHSE.jpg" id="4" name="Picture"/>
                  <pic:cNvPicPr>
                    <a:picLocks noChangeArrowheads="1"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9380" cy="8089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>
    <w:pPr>
      <w:pStyle w:val="style41"/>
    </w:pPr>
    <w:r>
      <w:rPr/>
    </w:r>
  </w:p>
  <w:p>
    <w:pPr>
      <w:pStyle w:val="style0"/>
    </w:pPr>
    <w:r>
      <w:rPr/>
    </w:r>
  </w:p>
</w:hdr>
</file>

<file path=word/header6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41"/>
      <w:jc w:val="center"/>
    </w:pPr>
    <w:r>
      <w:rPr/>
      <w:drawing>
        <wp:inline distB="0" distL="0" distR="0" distT="0">
          <wp:extent cx="1389380" cy="808990"/>
          <wp:effectExtent b="0" l="0" r="0" t="0"/>
          <wp:docPr descr="C:\Users\ateixeira\Desktop\CAIJ ANDREA\COPEIJ\LOGO GNDH\NOVO LOGO GNDH_arquivos\GNDHSE.jpg" id="5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descr="C:\Users\ateixeira\Desktop\CAIJ ANDREA\COPEIJ\LOGO GNDH\NOVO LOGO GNDH_arquivos\GNDHSE.jpg" id="5" name="Picture"/>
                  <pic:cNvPicPr>
                    <a:picLocks noChangeArrowheads="1"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9380" cy="8089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>
    <w:pPr>
      <w:pStyle w:val="style41"/>
    </w:pPr>
    <w:r>
      <w:rPr/>
    </w:r>
  </w:p>
  <w:p>
    <w:pPr>
      <w:pStyle w:val="style0"/>
    </w:pPr>
    <w:r>
      <w:rPr/>
    </w:r>
  </w:p>
</w:hdr>
</file>

<file path=word/header7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41"/>
      <w:jc w:val="center"/>
    </w:pPr>
    <w:r>
      <w:rPr/>
      <w:drawing>
        <wp:inline distB="0" distL="0" distR="0" distT="0">
          <wp:extent cx="1389380" cy="808990"/>
          <wp:effectExtent b="0" l="0" r="0" t="0"/>
          <wp:docPr descr="C:\Users\ateixeira\Desktop\CAIJ ANDREA\COPEIJ\LOGO GNDH\NOVO LOGO GNDH_arquivos\GNDHSE.jpg" id="6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descr="C:\Users\ateixeira\Desktop\CAIJ ANDREA\COPEIJ\LOGO GNDH\NOVO LOGO GNDH_arquivos\GNDHSE.jpg" id="6" name="Picture"/>
                  <pic:cNvPicPr>
                    <a:picLocks noChangeArrowheads="1"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9380" cy="8089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>
    <w:pPr>
      <w:pStyle w:val="style41"/>
    </w:pPr>
    <w:r>
      <w:rPr/>
    </w:r>
  </w:p>
  <w:p>
    <w:pPr>
      <w:pStyle w:val="style0"/>
    </w:pPr>
    <w:r>
      <w:rPr/>
    </w:r>
  </w:p>
</w:hdr>
</file>

<file path=word/header8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p>
    <w:pPr>
      <w:pStyle w:val="style41"/>
      <w:jc w:val="center"/>
    </w:pPr>
    <w:r>
      <w:rPr/>
      <w:drawing>
        <wp:inline distB="0" distL="0" distR="0" distT="0">
          <wp:extent cx="1389380" cy="808990"/>
          <wp:effectExtent b="0" l="0" r="0" t="0"/>
          <wp:docPr descr="C:\Users\ateixeira\Desktop\CAIJ ANDREA\COPEIJ\LOGO GNDH\NOVO LOGO GNDH_arquivos\GNDHSE.jpg" id="7" name="Pictu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descr="C:\Users\ateixeira\Desktop\CAIJ ANDREA\COPEIJ\LOGO GNDH\NOVO LOGO GNDH_arquivos\GNDHSE.jpg" id="7" name="Picture"/>
                  <pic:cNvPicPr>
                    <a:picLocks noChangeArrowheads="1" noChangeAspect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9380" cy="8089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>
    <w:pPr>
      <w:pStyle w:val="style41"/>
    </w:pPr>
    <w:r>
      <w:rPr/>
    </w:r>
  </w:p>
  <w:p>
    <w:pPr>
      <w:pStyle w:val="style0"/>
    </w:pPr>
    <w:r>
      <w:rPr/>
    </w:r>
  </w:p>
</w:hdr>
</file>

<file path=word/numbering.xml><?xml version="1.0" encoding="utf-8"?>
<w:numbering xmlns:w="http://schemas.openxmlformats.org/wordprocessingml/2006/main">
  <w:abstractNum w:abstractNumId="1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abstractNum w:abstractNumId="2">
    <w:lvl w:ilvl="0">
      <w:start w:val="1"/>
      <w:numFmt w:val="upperRoman"/>
      <w:lvlText w:val="%1."/>
      <w:lvlJc w:val="left"/>
      <w:pPr>
        <w:tabs>
          <w:tab w:pos="2421" w:val="num"/>
        </w:tabs>
        <w:ind w:hanging="720" w:left="2421"/>
      </w:pPr>
    </w:lvl>
    <w:lvl w:ilvl="1">
      <w:start w:val="1"/>
      <w:numFmt w:val="lowerLetter"/>
      <w:lvlText w:val="%2."/>
      <w:lvlJc w:val="left"/>
      <w:pPr>
        <w:tabs>
          <w:tab w:pos="2781" w:val="num"/>
        </w:tabs>
        <w:ind w:hanging="360" w:left="2781"/>
      </w:pPr>
    </w:lvl>
    <w:lvl w:ilvl="2">
      <w:start w:val="1"/>
      <w:numFmt w:val="lowerRoman"/>
      <w:lvlText w:val="%3."/>
      <w:lvlJc w:val="right"/>
      <w:pPr>
        <w:tabs>
          <w:tab w:pos="3501" w:val="num"/>
        </w:tabs>
        <w:ind w:hanging="180" w:left="3501"/>
      </w:pPr>
    </w:lvl>
    <w:lvl w:ilvl="3">
      <w:start w:val="1"/>
      <w:numFmt w:val="decimal"/>
      <w:lvlText w:val="%4."/>
      <w:lvlJc w:val="left"/>
      <w:pPr>
        <w:tabs>
          <w:tab w:pos="4221" w:val="num"/>
        </w:tabs>
        <w:ind w:hanging="360" w:left="4221"/>
      </w:pPr>
    </w:lvl>
    <w:lvl w:ilvl="4">
      <w:start w:val="1"/>
      <w:numFmt w:val="lowerLetter"/>
      <w:lvlText w:val="%5."/>
      <w:lvlJc w:val="left"/>
      <w:pPr>
        <w:tabs>
          <w:tab w:pos="4941" w:val="num"/>
        </w:tabs>
        <w:ind w:hanging="360" w:left="4941"/>
      </w:pPr>
    </w:lvl>
    <w:lvl w:ilvl="5">
      <w:start w:val="1"/>
      <w:numFmt w:val="lowerRoman"/>
      <w:lvlText w:val="%6."/>
      <w:lvlJc w:val="right"/>
      <w:pPr>
        <w:tabs>
          <w:tab w:pos="5661" w:val="num"/>
        </w:tabs>
        <w:ind w:hanging="180" w:left="5661"/>
      </w:pPr>
    </w:lvl>
    <w:lvl w:ilvl="6">
      <w:start w:val="1"/>
      <w:numFmt w:val="decimal"/>
      <w:lvlText w:val="%7."/>
      <w:lvlJc w:val="left"/>
      <w:pPr>
        <w:tabs>
          <w:tab w:pos="6381" w:val="num"/>
        </w:tabs>
        <w:ind w:hanging="360" w:left="6381"/>
      </w:pPr>
    </w:lvl>
    <w:lvl w:ilvl="7">
      <w:start w:val="1"/>
      <w:numFmt w:val="lowerLetter"/>
      <w:lvlText w:val="%8."/>
      <w:lvlJc w:val="left"/>
      <w:pPr>
        <w:tabs>
          <w:tab w:pos="7101" w:val="num"/>
        </w:tabs>
        <w:ind w:hanging="360" w:left="7101"/>
      </w:pPr>
    </w:lvl>
    <w:lvl w:ilvl="8">
      <w:start w:val="1"/>
      <w:numFmt w:val="lowerRoman"/>
      <w:lvlText w:val="%9."/>
      <w:lvlJc w:val="right"/>
      <w:pPr>
        <w:tabs>
          <w:tab w:pos="7821" w:val="num"/>
        </w:tabs>
        <w:ind w:hanging="180" w:left="7821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footnotePr>
    <w:numFmt w:val="decimal"/>
    <w:footnote w:id="0"/>
    <w:footnote w:id="1"/>
  </w:footnotePr>
</w:settings>
</file>

<file path=word/styles.xml><?xml version="1.0" encoding="utf-8"?>
<w:styles xmlns:w="http://schemas.openxmlformats.org/wordprocessingml/2006/main">
  <w:style w:styleId="style0" w:type="paragraph">
    <w:name w:val="Padrão"/>
    <w:next w:val="style0"/>
    <w:pPr>
      <w:widowControl/>
      <w:tabs/>
      <w:suppressAutoHyphens w:val="true"/>
      <w:spacing w:after="0" w:before="0" w:line="100" w:lineRule="atLeast"/>
      <w:contextualSpacing w:val="false"/>
    </w:pPr>
    <w:rPr>
      <w:rFonts w:ascii="Calibri" w:cs="Times New Roman" w:eastAsia="SimSun" w:hAnsi="Calibri"/>
      <w:color w:val="auto"/>
      <w:sz w:val="22"/>
      <w:szCs w:val="22"/>
      <w:lang w:bidi="ar-SA" w:eastAsia="en-US" w:val="pt-BR"/>
    </w:rPr>
  </w:style>
  <w:style w:styleId="style3" w:type="paragraph">
    <w:name w:val="Título 3"/>
    <w:basedOn w:val="style0"/>
    <w:next w:val="style33"/>
    <w:pPr>
      <w:keepNext/>
      <w:numPr>
        <w:ilvl w:val="2"/>
        <w:numId w:val="1"/>
      </w:numPr>
      <w:outlineLvl w:val="2"/>
    </w:pPr>
    <w:rPr>
      <w:rFonts w:ascii="Times New Roman" w:eastAsia="Times New Roman" w:hAnsi="Times New Roman"/>
      <w:sz w:val="24"/>
      <w:szCs w:val="20"/>
      <w:lang w:eastAsia="pt-BR"/>
    </w:rPr>
  </w:style>
  <w:style w:styleId="style15" w:type="character">
    <w:name w:val="Default Paragraph Font"/>
    <w:next w:val="style15"/>
    <w:rPr/>
  </w:style>
  <w:style w:styleId="style16" w:type="character">
    <w:name w:val="Link da Internet"/>
    <w:basedOn w:val="style15"/>
    <w:next w:val="style16"/>
    <w:rPr>
      <w:color w:val="0563C1"/>
      <w:u w:val="single"/>
      <w:lang w:bidi="pt-BR" w:eastAsia="pt-BR" w:val="pt-BR"/>
    </w:rPr>
  </w:style>
  <w:style w:styleId="style17" w:type="character">
    <w:name w:val="Texto sem Formatação Char"/>
    <w:basedOn w:val="style15"/>
    <w:next w:val="style17"/>
    <w:rPr>
      <w:rFonts w:ascii="Calibri" w:cs="" w:hAnsi="Calibri"/>
      <w:sz w:val="21"/>
      <w:szCs w:val="21"/>
      <w:lang w:eastAsia="pt-BR"/>
    </w:rPr>
  </w:style>
  <w:style w:styleId="style18" w:type="character">
    <w:name w:val="Texto de balão Char"/>
    <w:basedOn w:val="style15"/>
    <w:next w:val="style18"/>
    <w:rPr>
      <w:rFonts w:ascii="Segoe UI" w:cs="Segoe UI" w:hAnsi="Segoe UI"/>
      <w:sz w:val="18"/>
      <w:szCs w:val="18"/>
    </w:rPr>
  </w:style>
  <w:style w:styleId="style19" w:type="character">
    <w:name w:val="Cabeçalho Char"/>
    <w:basedOn w:val="style15"/>
    <w:next w:val="style19"/>
    <w:rPr>
      <w:rFonts w:ascii="Calibri" w:cs="Times New Roman" w:hAnsi="Calibri"/>
    </w:rPr>
  </w:style>
  <w:style w:styleId="style20" w:type="character">
    <w:name w:val="Rodapé Char"/>
    <w:basedOn w:val="style15"/>
    <w:next w:val="style20"/>
    <w:rPr>
      <w:rFonts w:ascii="Calibri" w:cs="Times New Roman" w:hAnsi="Calibri"/>
    </w:rPr>
  </w:style>
  <w:style w:styleId="style21" w:type="character">
    <w:name w:val="Título 3 Char"/>
    <w:basedOn w:val="style15"/>
    <w:next w:val="style21"/>
    <w:rPr>
      <w:rFonts w:ascii="Times New Roman" w:cs="Times New Roman" w:eastAsia="Times New Roman" w:hAnsi="Times New Roman"/>
      <w:sz w:val="24"/>
      <w:szCs w:val="20"/>
      <w:lang w:eastAsia="pt-BR"/>
    </w:rPr>
  </w:style>
  <w:style w:styleId="style22" w:type="character">
    <w:name w:val="Corpo de texto Char"/>
    <w:basedOn w:val="style15"/>
    <w:next w:val="style22"/>
    <w:rPr>
      <w:rFonts w:ascii="Times New Roman" w:cs="Times New Roman" w:eastAsia="Times New Roman" w:hAnsi="Times New Roman"/>
      <w:sz w:val="24"/>
      <w:szCs w:val="20"/>
      <w:lang w:eastAsia="pt-BR"/>
    </w:rPr>
  </w:style>
  <w:style w:styleId="style23" w:type="character">
    <w:name w:val="page number"/>
    <w:basedOn w:val="style15"/>
    <w:next w:val="style23"/>
    <w:rPr/>
  </w:style>
  <w:style w:styleId="style24" w:type="character">
    <w:name w:val="Recuo de corpo de texto 3 Char"/>
    <w:basedOn w:val="style15"/>
    <w:next w:val="style24"/>
    <w:rPr>
      <w:rFonts w:ascii="Courier New" w:cs="Courier New" w:eastAsia="Times New Roman" w:hAnsi="Courier New"/>
      <w:sz w:val="24"/>
      <w:szCs w:val="24"/>
      <w:lang w:eastAsia="pt-BR"/>
    </w:rPr>
  </w:style>
  <w:style w:styleId="style25" w:type="character">
    <w:name w:val="Texto de nota de rodapé Char"/>
    <w:basedOn w:val="style15"/>
    <w:next w:val="style25"/>
    <w:rPr>
      <w:rFonts w:ascii="Times New Roman" w:cs="Times New Roman" w:eastAsia="Times New Roman" w:hAnsi="Times New Roman"/>
      <w:sz w:val="20"/>
      <w:szCs w:val="20"/>
      <w:lang w:eastAsia="pt-BR"/>
    </w:rPr>
  </w:style>
  <w:style w:styleId="style26" w:type="character">
    <w:name w:val="footnote reference"/>
    <w:next w:val="style26"/>
    <w:rPr>
      <w:vertAlign w:val="superscript"/>
    </w:rPr>
  </w:style>
  <w:style w:styleId="style27" w:type="character">
    <w:name w:val="ListLabel 1"/>
    <w:next w:val="style27"/>
    <w:rPr>
      <w:rFonts w:cs="Courier New"/>
    </w:rPr>
  </w:style>
  <w:style w:styleId="style28" w:type="character">
    <w:name w:val="Caracteres de nota de rodapé"/>
    <w:next w:val="style28"/>
    <w:rPr/>
  </w:style>
  <w:style w:styleId="style29" w:type="character">
    <w:name w:val="Âncora de nota de rodapé"/>
    <w:next w:val="style29"/>
    <w:rPr>
      <w:vertAlign w:val="superscript"/>
    </w:rPr>
  </w:style>
  <w:style w:styleId="style30" w:type="character">
    <w:name w:val="Âncora de nota de fim"/>
    <w:next w:val="style30"/>
    <w:rPr>
      <w:vertAlign w:val="superscript"/>
    </w:rPr>
  </w:style>
  <w:style w:styleId="style31" w:type="character">
    <w:name w:val="Caracteres de nota de fim"/>
    <w:next w:val="style31"/>
    <w:rPr/>
  </w:style>
  <w:style w:styleId="style32" w:type="paragraph">
    <w:name w:val="Título"/>
    <w:basedOn w:val="style0"/>
    <w:next w:val="style33"/>
    <w:pPr>
      <w:keepNext/>
      <w:spacing w:after="120" w:before="240"/>
      <w:contextualSpacing w:val="false"/>
    </w:pPr>
    <w:rPr>
      <w:rFonts w:ascii="Arial" w:cs="Mangal" w:eastAsia="Microsoft YaHei" w:hAnsi="Arial"/>
      <w:sz w:val="28"/>
      <w:szCs w:val="28"/>
    </w:rPr>
  </w:style>
  <w:style w:styleId="style33" w:type="paragraph">
    <w:name w:val="Corpo de texto"/>
    <w:basedOn w:val="style0"/>
    <w:next w:val="style33"/>
    <w:pPr>
      <w:jc w:val="both"/>
    </w:pPr>
    <w:rPr>
      <w:rFonts w:ascii="Times New Roman" w:eastAsia="Times New Roman" w:hAnsi="Times New Roman"/>
      <w:sz w:val="24"/>
      <w:szCs w:val="20"/>
      <w:lang w:eastAsia="pt-BR"/>
    </w:rPr>
  </w:style>
  <w:style w:styleId="style34" w:type="paragraph">
    <w:name w:val="Lista"/>
    <w:basedOn w:val="style33"/>
    <w:next w:val="style34"/>
    <w:pPr/>
    <w:rPr>
      <w:rFonts w:cs="Mangal"/>
    </w:rPr>
  </w:style>
  <w:style w:styleId="style35" w:type="paragraph">
    <w:name w:val="Legenda"/>
    <w:basedOn w:val="style0"/>
    <w:next w:val="style35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36" w:type="paragraph">
    <w:name w:val="Índice"/>
    <w:basedOn w:val="style0"/>
    <w:next w:val="style36"/>
    <w:pPr>
      <w:suppressLineNumbers/>
    </w:pPr>
    <w:rPr>
      <w:rFonts w:cs="Mangal"/>
    </w:rPr>
  </w:style>
  <w:style w:styleId="style37" w:type="paragraph">
    <w:name w:val="List Paragraph"/>
    <w:basedOn w:val="style0"/>
    <w:next w:val="style37"/>
    <w:pPr>
      <w:ind w:hanging="0" w:left="720" w:right="0"/>
    </w:pPr>
    <w:rPr/>
  </w:style>
  <w:style w:styleId="style38" w:type="paragraph">
    <w:name w:val="Plain Text"/>
    <w:basedOn w:val="style0"/>
    <w:next w:val="style38"/>
    <w:pPr/>
    <w:rPr>
      <w:rFonts w:cs=""/>
      <w:sz w:val="21"/>
      <w:szCs w:val="21"/>
      <w:lang w:eastAsia="pt-BR"/>
    </w:rPr>
  </w:style>
  <w:style w:styleId="style39" w:type="paragraph">
    <w:name w:val="Normal (Web)"/>
    <w:basedOn w:val="style0"/>
    <w:next w:val="style39"/>
    <w:pPr/>
    <w:rPr>
      <w:rFonts w:ascii="Times New Roman" w:hAnsi="Times New Roman"/>
      <w:sz w:val="24"/>
      <w:szCs w:val="24"/>
      <w:lang w:eastAsia="pt-BR"/>
    </w:rPr>
  </w:style>
  <w:style w:styleId="style40" w:type="paragraph">
    <w:name w:val="Balloon Text"/>
    <w:basedOn w:val="style0"/>
    <w:next w:val="style40"/>
    <w:pPr/>
    <w:rPr>
      <w:rFonts w:ascii="Segoe UI" w:cs="Segoe UI" w:hAnsi="Segoe UI"/>
      <w:sz w:val="18"/>
      <w:szCs w:val="18"/>
    </w:rPr>
  </w:style>
  <w:style w:styleId="style41" w:type="paragraph">
    <w:name w:val="Cabeçalho"/>
    <w:basedOn w:val="style0"/>
    <w:next w:val="style41"/>
    <w:pPr>
      <w:suppressLineNumbers/>
      <w:tabs>
        <w:tab w:leader="none" w:pos="4252" w:val="center"/>
        <w:tab w:leader="none" w:pos="8504" w:val="right"/>
      </w:tabs>
    </w:pPr>
    <w:rPr/>
  </w:style>
  <w:style w:styleId="style42" w:type="paragraph">
    <w:name w:val="Rodapé"/>
    <w:basedOn w:val="style0"/>
    <w:next w:val="style42"/>
    <w:pPr>
      <w:suppressLineNumbers/>
      <w:tabs>
        <w:tab w:leader="none" w:pos="4252" w:val="center"/>
        <w:tab w:leader="none" w:pos="8504" w:val="right"/>
      </w:tabs>
    </w:pPr>
    <w:rPr/>
  </w:style>
  <w:style w:styleId="style43" w:type="paragraph">
    <w:name w:val="Body Text Indent 3"/>
    <w:basedOn w:val="style0"/>
    <w:next w:val="style43"/>
    <w:pPr>
      <w:ind w:firstLine="709" w:left="0" w:right="0"/>
      <w:jc w:val="both"/>
    </w:pPr>
    <w:rPr>
      <w:rFonts w:ascii="Courier New" w:cs="Courier New" w:eastAsia="Times New Roman" w:hAnsi="Courier New"/>
      <w:sz w:val="24"/>
      <w:szCs w:val="24"/>
      <w:lang w:eastAsia="pt-BR"/>
    </w:rPr>
  </w:style>
  <w:style w:styleId="style44" w:type="paragraph">
    <w:name w:val="footnote text"/>
    <w:basedOn w:val="style0"/>
    <w:next w:val="style44"/>
    <w:pPr/>
    <w:rPr>
      <w:rFonts w:ascii="Times New Roman" w:eastAsia="Times New Roman" w:hAnsi="Times New Roman"/>
      <w:sz w:val="20"/>
      <w:szCs w:val="20"/>
      <w:lang w:eastAsia="pt-BR"/>
    </w:rPr>
  </w:style>
  <w:style w:styleId="style45" w:type="paragraph">
    <w:name w:val="Nota de rodapé"/>
    <w:basedOn w:val="style0"/>
    <w:next w:val="style45"/>
    <w:pPr>
      <w:suppressLineNumbers/>
      <w:ind w:hanging="339" w:left="339" w:right="0"/>
    </w:pPr>
    <w:rPr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header" Target="header2.xml"/><Relationship Id="rId5" Type="http://schemas.openxmlformats.org/officeDocument/2006/relationships/footer" Target="footer2.xml"/><Relationship Id="rId6" Type="http://schemas.openxmlformats.org/officeDocument/2006/relationships/footnotes" Target="footnotes.xml"/><Relationship Id="rId7" Type="http://schemas.openxmlformats.org/officeDocument/2006/relationships/header" Target="header3.xml"/><Relationship Id="rId8" Type="http://schemas.openxmlformats.org/officeDocument/2006/relationships/footer" Target="footer3.xml"/><Relationship Id="rId9" Type="http://schemas.openxmlformats.org/officeDocument/2006/relationships/header" Target="header4.xml"/><Relationship Id="rId10" Type="http://schemas.openxmlformats.org/officeDocument/2006/relationships/footer" Target="footer4.xml"/><Relationship Id="rId11" Type="http://schemas.openxmlformats.org/officeDocument/2006/relationships/header" Target="header5.xml"/><Relationship Id="rId12" Type="http://schemas.openxmlformats.org/officeDocument/2006/relationships/footer" Target="footer5.xml"/><Relationship Id="rId13" Type="http://schemas.openxmlformats.org/officeDocument/2006/relationships/header" Target="header6.xml"/><Relationship Id="rId14" Type="http://schemas.openxmlformats.org/officeDocument/2006/relationships/footer" Target="footer6.xml"/><Relationship Id="rId15" Type="http://schemas.openxmlformats.org/officeDocument/2006/relationships/header" Target="header7.xml"/><Relationship Id="rId16" Type="http://schemas.openxmlformats.org/officeDocument/2006/relationships/footer" Target="footer7.xml"/><Relationship Id="rId17" Type="http://schemas.openxmlformats.org/officeDocument/2006/relationships/header" Target="header8.xml"/><Relationship Id="rId18" Type="http://schemas.openxmlformats.org/officeDocument/2006/relationships/footer" Target="footer8.xml"/><Relationship Id="rId19" Type="http://schemas.openxmlformats.org/officeDocument/2006/relationships/numbering" Target="numbering.xml"/><Relationship Id="rId20" Type="http://schemas.openxmlformats.org/officeDocument/2006/relationships/fontTable" Target="fontTable.xml"/><Relationship Id="rId21" Type="http://schemas.openxmlformats.org/officeDocument/2006/relationships/settings" Target="settings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2.jpe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3.jpeg"/>
</Relationships>
</file>

<file path=word/_rels/header4.xml.rels><?xml version="1.0" encoding="UTF-8"?>
<Relationships xmlns="http://schemas.openxmlformats.org/package/2006/relationships"><Relationship Id="rId1" Type="http://schemas.openxmlformats.org/officeDocument/2006/relationships/image" Target="media/image4.jpeg"/>
</Relationships>
</file>

<file path=word/_rels/header5.xml.rels><?xml version="1.0" encoding="UTF-8"?>
<Relationships xmlns="http://schemas.openxmlformats.org/package/2006/relationships"><Relationship Id="rId1" Type="http://schemas.openxmlformats.org/officeDocument/2006/relationships/image" Target="media/image5.jpeg"/>
</Relationships>
</file>

<file path=word/_rels/header6.xml.rels><?xml version="1.0" encoding="UTF-8"?>
<Relationships xmlns="http://schemas.openxmlformats.org/package/2006/relationships"><Relationship Id="rId1" Type="http://schemas.openxmlformats.org/officeDocument/2006/relationships/image" Target="media/image6.jpeg"/>
</Relationships>
</file>

<file path=word/_rels/header7.xml.rels><?xml version="1.0" encoding="UTF-8"?>
<Relationships xmlns="http://schemas.openxmlformats.org/package/2006/relationships"><Relationship Id="rId1" Type="http://schemas.openxmlformats.org/officeDocument/2006/relationships/image" Target="media/image7.jpeg"/>
</Relationships>
</file>

<file path=word/_rels/header8.xml.rels><?xml version="1.0" encoding="UTF-8"?>
<Relationships xmlns="http://schemas.openxmlformats.org/package/2006/relationships"><Relationship Id="rId1" Type="http://schemas.openxmlformats.org/officeDocument/2006/relationships/image" Target="media/image8.jpe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2016-05-05T17:57:00.00Z</dcterms:created>
  <dc:creator>Andrea Teixeira de Souza</dc:creator>
  <cp:lastModifiedBy>Andrea Teixeira de Souza</cp:lastModifiedBy>
  <cp:lastPrinted>2016-04-26T18:38:00.00Z</cp:lastPrinted>
  <dcterms:modified xsi:type="dcterms:W3CDTF">2016-05-05T19:18:00.00Z</dcterms:modified>
  <cp:revision>6</cp:revision>
</cp:coreProperties>
</file>